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3EE04" w14:textId="77777777" w:rsidR="005B1605" w:rsidRDefault="005B1605" w:rsidP="00BB6CC9">
      <w:pPr>
        <w:jc w:val="center"/>
        <w:rPr>
          <w:b/>
          <w:sz w:val="28"/>
          <w:szCs w:val="28"/>
        </w:rPr>
      </w:pPr>
    </w:p>
    <w:p w14:paraId="7215E4EF" w14:textId="77777777" w:rsidR="00CE3761" w:rsidRDefault="00CE3761" w:rsidP="00BB6CC9">
      <w:pPr>
        <w:jc w:val="center"/>
        <w:rPr>
          <w:b/>
          <w:sz w:val="28"/>
          <w:szCs w:val="28"/>
        </w:rPr>
      </w:pPr>
    </w:p>
    <w:p w14:paraId="412A9B08" w14:textId="68794EC9" w:rsidR="005B1605" w:rsidRDefault="005B1605" w:rsidP="00BB6CC9">
      <w:pPr>
        <w:jc w:val="center"/>
        <w:rPr>
          <w:b/>
          <w:sz w:val="28"/>
          <w:szCs w:val="28"/>
        </w:rPr>
      </w:pPr>
      <w:r>
        <w:rPr>
          <w:b/>
          <w:noProof/>
          <w:sz w:val="28"/>
          <w:szCs w:val="28"/>
        </w:rPr>
        <w:drawing>
          <wp:inline distT="0" distB="0" distL="0" distR="0" wp14:anchorId="10D065B7" wp14:editId="189A3E0B">
            <wp:extent cx="2524760" cy="946784"/>
            <wp:effectExtent l="0" t="0" r="0" b="6350"/>
            <wp:docPr id="504070607"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70607" name="Immagine 1" descr="Immagine che contiene nero, oscurità&#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545088" cy="954407"/>
                    </a:xfrm>
                    <a:prstGeom prst="rect">
                      <a:avLst/>
                    </a:prstGeom>
                  </pic:spPr>
                </pic:pic>
              </a:graphicData>
            </a:graphic>
          </wp:inline>
        </w:drawing>
      </w:r>
    </w:p>
    <w:p w14:paraId="485626EA" w14:textId="77777777" w:rsidR="005B1605" w:rsidRDefault="005B1605" w:rsidP="00BB6CC9">
      <w:pPr>
        <w:jc w:val="center"/>
        <w:rPr>
          <w:b/>
          <w:sz w:val="28"/>
          <w:szCs w:val="28"/>
        </w:rPr>
      </w:pPr>
    </w:p>
    <w:p w14:paraId="343C4828" w14:textId="77777777" w:rsidR="005B1605" w:rsidRDefault="005B1605" w:rsidP="00BB6CC9">
      <w:pPr>
        <w:jc w:val="center"/>
        <w:rPr>
          <w:b/>
          <w:sz w:val="28"/>
          <w:szCs w:val="28"/>
        </w:rPr>
      </w:pPr>
    </w:p>
    <w:p w14:paraId="7A0FC7B7" w14:textId="77777777" w:rsidR="005B1605" w:rsidRDefault="005B1605" w:rsidP="00BB6CC9">
      <w:pPr>
        <w:jc w:val="center"/>
        <w:rPr>
          <w:b/>
          <w:sz w:val="28"/>
          <w:szCs w:val="28"/>
        </w:rPr>
      </w:pPr>
    </w:p>
    <w:p w14:paraId="6BF91FAB" w14:textId="77777777" w:rsidR="005B1605" w:rsidRDefault="005B1605" w:rsidP="00BB6CC9">
      <w:pPr>
        <w:jc w:val="center"/>
        <w:rPr>
          <w:b/>
          <w:sz w:val="28"/>
          <w:szCs w:val="28"/>
        </w:rPr>
      </w:pPr>
    </w:p>
    <w:p w14:paraId="02E88C52" w14:textId="77777777" w:rsidR="005B1605" w:rsidRDefault="005B1605" w:rsidP="00BB6CC9">
      <w:pPr>
        <w:jc w:val="center"/>
        <w:rPr>
          <w:b/>
          <w:sz w:val="28"/>
          <w:szCs w:val="28"/>
        </w:rPr>
      </w:pPr>
    </w:p>
    <w:p w14:paraId="14A7F782" w14:textId="035B1A0C" w:rsidR="005B1605" w:rsidRPr="006B729D" w:rsidRDefault="006B729D" w:rsidP="00BB6CC9">
      <w:pPr>
        <w:jc w:val="center"/>
        <w:rPr>
          <w:b/>
          <w:sz w:val="56"/>
          <w:szCs w:val="56"/>
        </w:rPr>
      </w:pPr>
      <w:r w:rsidRPr="006B729D">
        <w:rPr>
          <w:b/>
          <w:sz w:val="56"/>
          <w:szCs w:val="56"/>
        </w:rPr>
        <w:t>ANALISI SITUAZIONE PATRIMONIALE E</w:t>
      </w:r>
    </w:p>
    <w:p w14:paraId="562EA395" w14:textId="4EE5B2F9" w:rsidR="005B1605" w:rsidRDefault="005B1605" w:rsidP="00BB6CC9">
      <w:pPr>
        <w:jc w:val="center"/>
        <w:rPr>
          <w:b/>
          <w:sz w:val="56"/>
          <w:szCs w:val="56"/>
        </w:rPr>
      </w:pPr>
      <w:r w:rsidRPr="005B1605">
        <w:rPr>
          <w:b/>
          <w:sz w:val="56"/>
          <w:szCs w:val="56"/>
        </w:rPr>
        <w:t>CONTRIBUTI ASSOCIATIVI ANNUALI</w:t>
      </w:r>
    </w:p>
    <w:p w14:paraId="6AF5FFCC" w14:textId="77777777" w:rsidR="005B1605" w:rsidRDefault="005B1605" w:rsidP="00BB6CC9">
      <w:pPr>
        <w:jc w:val="center"/>
        <w:rPr>
          <w:b/>
          <w:sz w:val="56"/>
          <w:szCs w:val="56"/>
        </w:rPr>
      </w:pPr>
    </w:p>
    <w:p w14:paraId="48AB2AB5" w14:textId="77777777" w:rsidR="005B1605" w:rsidRPr="005B1605" w:rsidRDefault="005B1605" w:rsidP="00BB6CC9">
      <w:pPr>
        <w:jc w:val="center"/>
        <w:rPr>
          <w:b/>
          <w:sz w:val="56"/>
          <w:szCs w:val="56"/>
        </w:rPr>
      </w:pPr>
    </w:p>
    <w:p w14:paraId="6217506C" w14:textId="3AC6831B" w:rsidR="005B1605" w:rsidRPr="005B1605" w:rsidRDefault="005B1605" w:rsidP="00BB6CC9">
      <w:pPr>
        <w:jc w:val="center"/>
        <w:rPr>
          <w:b/>
          <w:i/>
          <w:iCs/>
          <w:sz w:val="56"/>
          <w:szCs w:val="56"/>
        </w:rPr>
      </w:pPr>
      <w:r w:rsidRPr="005B1605">
        <w:rPr>
          <w:b/>
          <w:i/>
          <w:iCs/>
          <w:sz w:val="56"/>
          <w:szCs w:val="56"/>
        </w:rPr>
        <w:t>ELEMENTI DI RIFLESSIONE PER LA REDAZIONE DEL BUDGET 2025</w:t>
      </w:r>
    </w:p>
    <w:p w14:paraId="65AF48E5" w14:textId="77777777" w:rsidR="005B1605" w:rsidRPr="005B1605" w:rsidRDefault="005B1605" w:rsidP="00BB6CC9">
      <w:pPr>
        <w:jc w:val="center"/>
        <w:rPr>
          <w:b/>
          <w:sz w:val="56"/>
          <w:szCs w:val="56"/>
        </w:rPr>
      </w:pPr>
    </w:p>
    <w:p w14:paraId="751D4BC3" w14:textId="7FF06741" w:rsidR="005B1605" w:rsidRDefault="005B1605">
      <w:pPr>
        <w:rPr>
          <w:b/>
          <w:sz w:val="28"/>
          <w:szCs w:val="28"/>
        </w:rPr>
      </w:pPr>
      <w:r>
        <w:rPr>
          <w:b/>
          <w:sz w:val="28"/>
          <w:szCs w:val="28"/>
        </w:rPr>
        <w:br w:type="page"/>
      </w:r>
    </w:p>
    <w:p w14:paraId="790F6C5F" w14:textId="16176768" w:rsidR="00B96893" w:rsidRDefault="005B1605" w:rsidP="00BB6CC9">
      <w:pPr>
        <w:jc w:val="center"/>
        <w:rPr>
          <w:b/>
          <w:sz w:val="28"/>
          <w:szCs w:val="28"/>
        </w:rPr>
      </w:pPr>
      <w:r>
        <w:rPr>
          <w:b/>
          <w:sz w:val="28"/>
          <w:szCs w:val="28"/>
        </w:rPr>
        <w:lastRenderedPageBreak/>
        <w:t xml:space="preserve">LA </w:t>
      </w:r>
      <w:r w:rsidR="00D16FC8" w:rsidRPr="00BB6CC9">
        <w:rPr>
          <w:b/>
          <w:sz w:val="28"/>
          <w:szCs w:val="28"/>
        </w:rPr>
        <w:t xml:space="preserve">FORMAZIONE DEI CONTRIBUTI ASSOCIATIVI </w:t>
      </w:r>
    </w:p>
    <w:p w14:paraId="7DA849AB" w14:textId="4189B077" w:rsidR="00BB6CC9" w:rsidRDefault="005B1605" w:rsidP="00BB6CC9">
      <w:pPr>
        <w:jc w:val="center"/>
        <w:rPr>
          <w:b/>
          <w:sz w:val="28"/>
          <w:szCs w:val="28"/>
        </w:rPr>
      </w:pPr>
      <w:r>
        <w:rPr>
          <w:b/>
          <w:sz w:val="28"/>
          <w:szCs w:val="28"/>
        </w:rPr>
        <w:t xml:space="preserve">DI </w:t>
      </w:r>
      <w:r w:rsidR="00B96893">
        <w:rPr>
          <w:b/>
          <w:sz w:val="28"/>
          <w:szCs w:val="28"/>
        </w:rPr>
        <w:t xml:space="preserve">CONFSERVIZI EMILIA </w:t>
      </w:r>
      <w:r>
        <w:rPr>
          <w:b/>
          <w:sz w:val="28"/>
          <w:szCs w:val="28"/>
        </w:rPr>
        <w:t>–</w:t>
      </w:r>
      <w:r w:rsidR="00B96893">
        <w:rPr>
          <w:b/>
          <w:sz w:val="28"/>
          <w:szCs w:val="28"/>
        </w:rPr>
        <w:t xml:space="preserve"> ROMAGNA</w:t>
      </w:r>
    </w:p>
    <w:p w14:paraId="3450C10A" w14:textId="39FCFEBD" w:rsidR="005B1605" w:rsidRDefault="005B1605" w:rsidP="00BB6CC9">
      <w:pPr>
        <w:jc w:val="center"/>
        <w:rPr>
          <w:b/>
          <w:sz w:val="28"/>
          <w:szCs w:val="28"/>
        </w:rPr>
      </w:pPr>
      <w:r>
        <w:rPr>
          <w:b/>
          <w:sz w:val="28"/>
          <w:szCs w:val="28"/>
        </w:rPr>
        <w:t>BREVE CRONISTORIA</w:t>
      </w:r>
    </w:p>
    <w:p w14:paraId="134C22DE" w14:textId="77777777" w:rsidR="00D16FC8" w:rsidRDefault="00D16FC8"/>
    <w:p w14:paraId="0422E6EB" w14:textId="4151C633" w:rsidR="00B96893" w:rsidRPr="00B96893" w:rsidRDefault="00B96893">
      <w:pPr>
        <w:rPr>
          <w:b/>
          <w:bCs/>
        </w:rPr>
      </w:pPr>
      <w:r w:rsidRPr="00B96893">
        <w:rPr>
          <w:b/>
          <w:bCs/>
        </w:rPr>
        <w:t>PREMESSA</w:t>
      </w:r>
    </w:p>
    <w:p w14:paraId="6AE24C5A" w14:textId="304EE02E" w:rsidR="00D16FC8" w:rsidRDefault="00D16FC8" w:rsidP="00BB6CC9">
      <w:pPr>
        <w:jc w:val="both"/>
      </w:pPr>
      <w:r>
        <w:t xml:space="preserve">L’ultima </w:t>
      </w:r>
      <w:r w:rsidRPr="005B1605">
        <w:rPr>
          <w:b/>
          <w:bCs/>
        </w:rPr>
        <w:t>revisione delle quote associative dovute dalle aziende associate a Confservizi ER risale al 2011</w:t>
      </w:r>
      <w:r>
        <w:t xml:space="preserve">, a seguito dell’avvio della “nuova” Confservizi in seguito alla scissione dalle aziende del sociale che </w:t>
      </w:r>
      <w:r w:rsidR="00B96893">
        <w:t xml:space="preserve">si ricomposero </w:t>
      </w:r>
      <w:r w:rsidR="00375088">
        <w:t>in</w:t>
      </w:r>
      <w:r>
        <w:t xml:space="preserve"> una loro associazione autonoma (Cispel).</w:t>
      </w:r>
    </w:p>
    <w:p w14:paraId="06981142" w14:textId="39C558A7" w:rsidR="00D16FC8" w:rsidRDefault="0088298A" w:rsidP="00BB6CC9">
      <w:pPr>
        <w:jc w:val="both"/>
      </w:pPr>
      <w:r>
        <w:t>Dal momento che</w:t>
      </w:r>
      <w:r w:rsidR="00AB5C6E">
        <w:t xml:space="preserve"> la base associativa passò da </w:t>
      </w:r>
      <w:r w:rsidR="00AB5C6E" w:rsidRPr="005B1605">
        <w:rPr>
          <w:b/>
          <w:bCs/>
        </w:rPr>
        <w:t>125</w:t>
      </w:r>
      <w:r w:rsidRPr="005B1605">
        <w:rPr>
          <w:b/>
          <w:bCs/>
        </w:rPr>
        <w:t xml:space="preserve"> a 42 aziende</w:t>
      </w:r>
      <w:r>
        <w:t xml:space="preserve">, fu calcolato un </w:t>
      </w:r>
      <w:r w:rsidRPr="005B1605">
        <w:rPr>
          <w:b/>
          <w:bCs/>
        </w:rPr>
        <w:t>aumento di circa 100 mila euro delle entrate da contributi</w:t>
      </w:r>
      <w:r>
        <w:t xml:space="preserve"> </w:t>
      </w:r>
      <w:r w:rsidR="00D16FC8">
        <w:t xml:space="preserve">per poter dare sostenibilità economica alla nuova associazione che rappresentava le </w:t>
      </w:r>
      <w:r w:rsidR="00D16FC8" w:rsidRPr="005B1605">
        <w:rPr>
          <w:b/>
          <w:bCs/>
        </w:rPr>
        <w:t>sole aziende del comparto dei servizi industriali</w:t>
      </w:r>
      <w:r w:rsidR="00D16FC8">
        <w:t xml:space="preserve"> (energetico –idrico – amb</w:t>
      </w:r>
      <w:r>
        <w:t>ientale e trasporti), anche in considerazione del fatto che</w:t>
      </w:r>
      <w:r w:rsidR="00B96893">
        <w:t xml:space="preserve">, nonostante una </w:t>
      </w:r>
      <w:r w:rsidR="00B96893" w:rsidRPr="005B1605">
        <w:rPr>
          <w:b/>
          <w:bCs/>
        </w:rPr>
        <w:t>forte razionalizzazione dei costi</w:t>
      </w:r>
      <w:r w:rsidR="00B96893">
        <w:t xml:space="preserve"> per collaborazioni, consulenze, servizi di comunicazione ecc</w:t>
      </w:r>
      <w:r>
        <w:t xml:space="preserve"> i costi operativi erano previsti in aumento di circa 50 mila euro per le spese di affitto collegate al trasferimento di sede e al fatto che le aziende avrebbero avuto minori costi contributivi per effetto dello scioglimento della Confservizi nazionale.</w:t>
      </w:r>
    </w:p>
    <w:p w14:paraId="12DACE7F" w14:textId="77777777" w:rsidR="0088298A" w:rsidRDefault="0088298A" w:rsidP="00BB6CC9">
      <w:pPr>
        <w:jc w:val="both"/>
      </w:pPr>
      <w:r>
        <w:t>Per raggiungere questo obiettivo f</w:t>
      </w:r>
      <w:r w:rsidR="00852D18">
        <w:t xml:space="preserve">u dunque avanzata </w:t>
      </w:r>
      <w:r w:rsidR="00852D18" w:rsidRPr="005B1605">
        <w:rPr>
          <w:b/>
          <w:bCs/>
        </w:rPr>
        <w:t>una proposta</w:t>
      </w:r>
      <w:r w:rsidR="00852D18">
        <w:t xml:space="preserve"> </w:t>
      </w:r>
      <w:r>
        <w:t>che prevedeva:</w:t>
      </w:r>
    </w:p>
    <w:p w14:paraId="6F30967B" w14:textId="62E6C240" w:rsidR="0088298A" w:rsidRDefault="0088298A" w:rsidP="00BB6CC9">
      <w:pPr>
        <w:pStyle w:val="Paragrafoelenco"/>
        <w:numPr>
          <w:ilvl w:val="0"/>
          <w:numId w:val="1"/>
        </w:numPr>
        <w:jc w:val="both"/>
      </w:pPr>
      <w:r>
        <w:t>L’innalzamento del contributo mini</w:t>
      </w:r>
      <w:r w:rsidR="00B96893">
        <w:t>m</w:t>
      </w:r>
      <w:r>
        <w:t>o di adesione a 2.000 €</w:t>
      </w:r>
      <w:r w:rsidR="005B1605">
        <w:t>;</w:t>
      </w:r>
    </w:p>
    <w:p w14:paraId="40F1EA52" w14:textId="7C4760D8" w:rsidR="002C36D6" w:rsidRDefault="0088298A" w:rsidP="00BB6CC9">
      <w:pPr>
        <w:pStyle w:val="Paragrafoelenco"/>
        <w:numPr>
          <w:ilvl w:val="0"/>
          <w:numId w:val="1"/>
        </w:numPr>
        <w:jc w:val="both"/>
      </w:pPr>
      <w:r>
        <w:t>L’aumento dal 36 al 42% dell’ammontare contributivo versato dalle aziende del comparto industriale a Confservizi</w:t>
      </w:r>
      <w:r w:rsidR="00852D18">
        <w:t xml:space="preserve"> ER</w:t>
      </w:r>
      <w:r>
        <w:t xml:space="preserve"> tenendo come parametro di r</w:t>
      </w:r>
      <w:r w:rsidR="004D6C27">
        <w:t>iferimento le risorse versate a</w:t>
      </w:r>
      <w:r w:rsidR="00B96893">
        <w:t>lle allora federazioni nazionali</w:t>
      </w:r>
      <w:r w:rsidR="004D6C27">
        <w:t xml:space="preserve"> Federambiente – Asstra e Federutility. Tale aumento fu spalmato in maniera proporzionale su tutte le aziende.</w:t>
      </w:r>
    </w:p>
    <w:p w14:paraId="1C49809E" w14:textId="77777777" w:rsidR="00B96893" w:rsidRDefault="00B96893" w:rsidP="00BB6CC9">
      <w:pPr>
        <w:pStyle w:val="Paragrafoelenco"/>
        <w:numPr>
          <w:ilvl w:val="0"/>
          <w:numId w:val="1"/>
        </w:numPr>
        <w:jc w:val="both"/>
      </w:pPr>
    </w:p>
    <w:p w14:paraId="1BB711B3" w14:textId="77777777" w:rsidR="004D6C27" w:rsidRDefault="004D6C27" w:rsidP="00BB6CC9">
      <w:pPr>
        <w:jc w:val="both"/>
      </w:pPr>
      <w:r>
        <w:t xml:space="preserve">L’Assemblea chiamata ad approvare il bilancio 2011, stabilì inoltre che questi </w:t>
      </w:r>
      <w:r w:rsidRPr="005B1605">
        <w:rPr>
          <w:b/>
          <w:bCs/>
        </w:rPr>
        <w:t>criteri sarebbero stati applicati in maniera “transitoria</w:t>
      </w:r>
      <w:r>
        <w:t xml:space="preserve">” in attesa di codificare le nuove regole che, come previsto dallo Statuto, stabiliscono come </w:t>
      </w:r>
      <w:r w:rsidRPr="005B1605">
        <w:rPr>
          <w:b/>
          <w:bCs/>
        </w:rPr>
        <w:t>parametri di riferimento per il calcolo delle quote il valore della produzione e il costo del personale</w:t>
      </w:r>
      <w:r>
        <w:t>, analogamente con quanto applicato dalle federazioni nazionali di riferimento.</w:t>
      </w:r>
    </w:p>
    <w:p w14:paraId="592EC58F" w14:textId="45CC3DA5" w:rsidR="002C36D6" w:rsidRPr="005B1605" w:rsidRDefault="002C36D6" w:rsidP="00BB6CC9">
      <w:pPr>
        <w:jc w:val="both"/>
        <w:rPr>
          <w:b/>
          <w:bCs/>
          <w:u w:val="single"/>
        </w:rPr>
      </w:pPr>
      <w:r>
        <w:t xml:space="preserve">Per la formazione del </w:t>
      </w:r>
      <w:r w:rsidRPr="005B1605">
        <w:rPr>
          <w:b/>
          <w:bCs/>
        </w:rPr>
        <w:t>bilancio 2012</w:t>
      </w:r>
      <w:r>
        <w:t xml:space="preserve">, </w:t>
      </w:r>
      <w:r w:rsidR="00A24414">
        <w:t>fu somministrato a tutte le aziende associate un breve questionario in cui si richiedevano i dati relativi a Vdp e costo del personale. Sulla base dell’analisi dei dati pervenuti, si riscontrò che, per quanto riguardava le aziende di piccole dimensioni, i contributi applicati erano in linea con il nuovo criterio statutario, mentre per le aziende multiutility come Hera e Iren, operative tra l’altro su più Regioni, vi era una difficoltà oggettiva nel poterlo applicare</w:t>
      </w:r>
      <w:r w:rsidR="00B523AD">
        <w:t xml:space="preserve"> senza generare sperequazioni,</w:t>
      </w:r>
      <w:r w:rsidR="00A24414">
        <w:t xml:space="preserve"> per la difficoltà di individuare, a partire dai loro bilanci, la base “imponibile” più corretta. Di fatto, dunque, </w:t>
      </w:r>
      <w:r w:rsidR="00A24414" w:rsidRPr="005B1605">
        <w:rPr>
          <w:b/>
          <w:bCs/>
          <w:u w:val="single"/>
        </w:rPr>
        <w:t xml:space="preserve">il </w:t>
      </w:r>
      <w:r w:rsidR="00B523AD" w:rsidRPr="005B1605">
        <w:rPr>
          <w:b/>
          <w:bCs/>
          <w:u w:val="single"/>
        </w:rPr>
        <w:t xml:space="preserve">nuovo </w:t>
      </w:r>
      <w:r w:rsidR="00A24414" w:rsidRPr="005B1605">
        <w:rPr>
          <w:b/>
          <w:bCs/>
          <w:u w:val="single"/>
        </w:rPr>
        <w:t>criterio statutario fu “congelato”</w:t>
      </w:r>
      <w:r w:rsidR="00B96893" w:rsidRPr="005B1605">
        <w:rPr>
          <w:b/>
          <w:bCs/>
          <w:u w:val="single"/>
        </w:rPr>
        <w:t xml:space="preserve"> e mai più applicato negli anni successivi.</w:t>
      </w:r>
    </w:p>
    <w:p w14:paraId="311C6CFB" w14:textId="77777777" w:rsidR="00921B52" w:rsidRDefault="00921B52" w:rsidP="00BB6CC9">
      <w:pPr>
        <w:jc w:val="both"/>
      </w:pPr>
    </w:p>
    <w:p w14:paraId="185367C7" w14:textId="19FC396C" w:rsidR="00921B52" w:rsidRPr="00921B52" w:rsidRDefault="00921B52" w:rsidP="00BB6CC9">
      <w:pPr>
        <w:jc w:val="both"/>
        <w:rPr>
          <w:b/>
          <w:bCs/>
        </w:rPr>
      </w:pPr>
      <w:r w:rsidRPr="00921B52">
        <w:rPr>
          <w:b/>
          <w:bCs/>
        </w:rPr>
        <w:t>LA DECURTAZIONE DEI CONTRIBUTI ASSOCIATIVI</w:t>
      </w:r>
    </w:p>
    <w:p w14:paraId="7FE911FB" w14:textId="49B70B4F" w:rsidR="00B523AD" w:rsidRPr="005B1605" w:rsidRDefault="00A24414" w:rsidP="00B96893">
      <w:pPr>
        <w:jc w:val="both"/>
        <w:rPr>
          <w:b/>
          <w:bCs/>
        </w:rPr>
      </w:pPr>
      <w:r>
        <w:t>Per riequilibrare la situazione contributiva delle due aziende più grandi</w:t>
      </w:r>
      <w:r w:rsidR="00B96893">
        <w:t>, chiamate di fatto a sostenere la gran parte dei costi dell’associazione</w:t>
      </w:r>
      <w:r w:rsidR="005B1605">
        <w:t>,</w:t>
      </w:r>
      <w:r w:rsidR="00921B52">
        <w:t xml:space="preserve"> vista la forte diminuzione della base associativa</w:t>
      </w:r>
      <w:r w:rsidR="00B96893">
        <w:t xml:space="preserve"> e</w:t>
      </w:r>
      <w:r>
        <w:t xml:space="preserve"> visto anche il sostanzioso utile co</w:t>
      </w:r>
      <w:r w:rsidR="00852D18">
        <w:t xml:space="preserve">n cui si chiuse il bilancio </w:t>
      </w:r>
      <w:r>
        <w:t>2011</w:t>
      </w:r>
      <w:r w:rsidR="00AB5C6E">
        <w:t xml:space="preserve"> di</w:t>
      </w:r>
      <w:r w:rsidR="00852D18">
        <w:t xml:space="preserve"> Confservizi ER </w:t>
      </w:r>
      <w:r>
        <w:t xml:space="preserve">fu deliberato </w:t>
      </w:r>
      <w:r w:rsidR="00375088">
        <w:t xml:space="preserve">nel </w:t>
      </w:r>
      <w:r w:rsidR="00375088" w:rsidRPr="005B1605">
        <w:rPr>
          <w:b/>
          <w:bCs/>
        </w:rPr>
        <w:t>2012</w:t>
      </w:r>
      <w:r w:rsidR="00375088">
        <w:t xml:space="preserve">, </w:t>
      </w:r>
      <w:r>
        <w:t xml:space="preserve">un </w:t>
      </w:r>
      <w:r w:rsidRPr="005B1605">
        <w:rPr>
          <w:b/>
          <w:bCs/>
        </w:rPr>
        <w:t>taglio “forfettario” delle loro quote associative</w:t>
      </w:r>
      <w:r w:rsidR="00B96893" w:rsidRPr="005B1605">
        <w:rPr>
          <w:b/>
          <w:bCs/>
        </w:rPr>
        <w:t>, pari a una diminuzione del 12% delle quote ordinarie.</w:t>
      </w:r>
    </w:p>
    <w:p w14:paraId="2B63CB23" w14:textId="7E0CDF6B" w:rsidR="00B523AD" w:rsidRDefault="00B523AD" w:rsidP="00BB6CC9">
      <w:pPr>
        <w:jc w:val="both"/>
      </w:pPr>
      <w:r>
        <w:lastRenderedPageBreak/>
        <w:t xml:space="preserve">A partire dal </w:t>
      </w:r>
      <w:r w:rsidRPr="005B1605">
        <w:rPr>
          <w:b/>
          <w:bCs/>
        </w:rPr>
        <w:t>2013</w:t>
      </w:r>
      <w:r>
        <w:t xml:space="preserve">, vista la situazione patrimoniale più che solida dell’associazione, frutto dell’oculatezza della gestione e di varie razionalizzazioni nei costi operativi della struttura, </w:t>
      </w:r>
      <w:r w:rsidRPr="005B1605">
        <w:rPr>
          <w:b/>
          <w:bCs/>
        </w:rPr>
        <w:t>l’Assem</w:t>
      </w:r>
      <w:r w:rsidR="00F70F84" w:rsidRPr="005B1605">
        <w:rPr>
          <w:b/>
          <w:bCs/>
        </w:rPr>
        <w:t>blea deliberò una riduzione straordinaria del 10%</w:t>
      </w:r>
      <w:r w:rsidR="00F70F84">
        <w:t xml:space="preserve"> dei contributi associativi applicati nel 2012,</w:t>
      </w:r>
      <w:r w:rsidR="00B96893">
        <w:t xml:space="preserve"> soglia che, </w:t>
      </w:r>
      <w:r w:rsidR="00B96893" w:rsidRPr="005B1605">
        <w:rPr>
          <w:b/>
          <w:bCs/>
        </w:rPr>
        <w:t>nel 2014 e fino al 2016 fu innalzata al 15%</w:t>
      </w:r>
      <w:r w:rsidR="00921B52">
        <w:t>, nonostante la riduzione di -</w:t>
      </w:r>
      <w:r w:rsidR="00FA3D4D">
        <w:t>90</w:t>
      </w:r>
      <w:r w:rsidR="00921B52">
        <w:t xml:space="preserve"> mila euro di entrate </w:t>
      </w:r>
      <w:r w:rsidR="00921B52" w:rsidRPr="00921B52">
        <w:t>per l’uscita dall’associazione delle aziende del Trasporto Pubblico Locale</w:t>
      </w:r>
      <w:r w:rsidR="00921B52">
        <w:t>.</w:t>
      </w:r>
    </w:p>
    <w:p w14:paraId="12B35F52" w14:textId="12DD0FF6" w:rsidR="00B96893" w:rsidRPr="00802751" w:rsidRDefault="00B96893" w:rsidP="00BB6CC9">
      <w:pPr>
        <w:jc w:val="both"/>
        <w:rPr>
          <w:b/>
          <w:bCs/>
          <w:u w:val="single"/>
        </w:rPr>
      </w:pPr>
      <w:r>
        <w:t>Successivamente, visto il permanere della solidità patrimoniale e l’incisiva azione di contenimento delle spese</w:t>
      </w:r>
      <w:r w:rsidR="00921B52">
        <w:t xml:space="preserve">, dovuta a una forte diminuzione delle spese istituzionali per relazioni esterne, convegnistica, comunicazione ecc, la percentuale di riduzione dei contributi associativi fu portata al </w:t>
      </w:r>
      <w:r w:rsidR="00921B52" w:rsidRPr="00802751">
        <w:rPr>
          <w:b/>
          <w:bCs/>
          <w:u w:val="single"/>
        </w:rPr>
        <w:t>20% negli anni 2018 e 2019 e al 25% dal 2019 a oggi.</w:t>
      </w:r>
    </w:p>
    <w:p w14:paraId="5AD1260A" w14:textId="77777777" w:rsidR="00802751" w:rsidRDefault="00802751" w:rsidP="00BB6CC9">
      <w:pPr>
        <w:jc w:val="both"/>
      </w:pPr>
    </w:p>
    <w:p w14:paraId="2A84BC34" w14:textId="24AD461F" w:rsidR="00921B52" w:rsidRDefault="00921B52" w:rsidP="00BB6CC9">
      <w:pPr>
        <w:jc w:val="both"/>
      </w:pPr>
      <w:r>
        <w:t>Di seguito, uno specchietto riepilogativo rispetto ad associati e contributi associativi.</w:t>
      </w:r>
    </w:p>
    <w:p w14:paraId="2F20EE72" w14:textId="77777777" w:rsidR="00921B52" w:rsidRDefault="00921B52" w:rsidP="00BB6CC9">
      <w:pPr>
        <w:jc w:val="both"/>
      </w:pPr>
    </w:p>
    <w:p w14:paraId="67D42919" w14:textId="77777777" w:rsidR="00802751" w:rsidRDefault="00802751" w:rsidP="00BB6CC9">
      <w:pPr>
        <w:jc w:val="both"/>
      </w:pPr>
    </w:p>
    <w:tbl>
      <w:tblPr>
        <w:tblStyle w:val="Grigliatabella"/>
        <w:tblW w:w="0" w:type="auto"/>
        <w:tblLook w:val="04A0" w:firstRow="1" w:lastRow="0" w:firstColumn="1" w:lastColumn="0" w:noHBand="0" w:noVBand="1"/>
      </w:tblPr>
      <w:tblGrid>
        <w:gridCol w:w="2407"/>
        <w:gridCol w:w="2407"/>
        <w:gridCol w:w="2407"/>
        <w:gridCol w:w="2407"/>
      </w:tblGrid>
      <w:tr w:rsidR="00921B52" w14:paraId="09F2305F" w14:textId="77777777" w:rsidTr="00921B52">
        <w:tc>
          <w:tcPr>
            <w:tcW w:w="2407" w:type="dxa"/>
          </w:tcPr>
          <w:p w14:paraId="4EF99442" w14:textId="7AEA34A4" w:rsidR="00921B52" w:rsidRPr="00802751" w:rsidRDefault="00921B52" w:rsidP="00BB6CC9">
            <w:pPr>
              <w:jc w:val="both"/>
              <w:rPr>
                <w:b/>
                <w:bCs/>
              </w:rPr>
            </w:pPr>
            <w:bookmarkStart w:id="0" w:name="_Hlk172710061"/>
            <w:r w:rsidRPr="00802751">
              <w:rPr>
                <w:b/>
                <w:bCs/>
              </w:rPr>
              <w:t>ANNO</w:t>
            </w:r>
          </w:p>
        </w:tc>
        <w:tc>
          <w:tcPr>
            <w:tcW w:w="2407" w:type="dxa"/>
          </w:tcPr>
          <w:p w14:paraId="57B98F00" w14:textId="48A8084E" w:rsidR="00921B52" w:rsidRPr="00802751" w:rsidRDefault="00921B52" w:rsidP="00BB6CC9">
            <w:pPr>
              <w:jc w:val="both"/>
              <w:rPr>
                <w:b/>
                <w:bCs/>
              </w:rPr>
            </w:pPr>
            <w:r w:rsidRPr="00802751">
              <w:rPr>
                <w:b/>
                <w:bCs/>
              </w:rPr>
              <w:t>NUMERO ASSOCIATI</w:t>
            </w:r>
          </w:p>
        </w:tc>
        <w:tc>
          <w:tcPr>
            <w:tcW w:w="2407" w:type="dxa"/>
          </w:tcPr>
          <w:p w14:paraId="04AFE9D7" w14:textId="3BE0DFFF" w:rsidR="00921B52" w:rsidRPr="00802751" w:rsidRDefault="00921B52" w:rsidP="00BB6CC9">
            <w:pPr>
              <w:jc w:val="both"/>
              <w:rPr>
                <w:b/>
                <w:bCs/>
              </w:rPr>
            </w:pPr>
            <w:r w:rsidRPr="00802751">
              <w:rPr>
                <w:b/>
                <w:bCs/>
              </w:rPr>
              <w:t>%RIDUZIONE QUOTE</w:t>
            </w:r>
          </w:p>
        </w:tc>
        <w:tc>
          <w:tcPr>
            <w:tcW w:w="2407" w:type="dxa"/>
          </w:tcPr>
          <w:p w14:paraId="6BAA93BA" w14:textId="6B5BAA5A" w:rsidR="00921B52" w:rsidRPr="00802751" w:rsidRDefault="00921B52" w:rsidP="00BB6CC9">
            <w:pPr>
              <w:jc w:val="both"/>
              <w:rPr>
                <w:b/>
                <w:bCs/>
              </w:rPr>
            </w:pPr>
            <w:r w:rsidRPr="00802751">
              <w:rPr>
                <w:b/>
                <w:bCs/>
              </w:rPr>
              <w:t>TOTALE CONTRIBUTI</w:t>
            </w:r>
            <w:r w:rsidR="00802751">
              <w:rPr>
                <w:b/>
                <w:bCs/>
              </w:rPr>
              <w:t>(€)</w:t>
            </w:r>
          </w:p>
        </w:tc>
      </w:tr>
      <w:tr w:rsidR="00921B52" w14:paraId="4FC4BD48" w14:textId="77777777" w:rsidTr="00921B52">
        <w:tc>
          <w:tcPr>
            <w:tcW w:w="2407" w:type="dxa"/>
          </w:tcPr>
          <w:p w14:paraId="2B367246" w14:textId="0FBBFC49" w:rsidR="00921B52" w:rsidRDefault="00921B52" w:rsidP="00802751">
            <w:pPr>
              <w:jc w:val="center"/>
            </w:pPr>
            <w:r>
              <w:t>2013</w:t>
            </w:r>
          </w:p>
        </w:tc>
        <w:tc>
          <w:tcPr>
            <w:tcW w:w="2407" w:type="dxa"/>
          </w:tcPr>
          <w:p w14:paraId="62CA9F06" w14:textId="22297DBE" w:rsidR="00921B52" w:rsidRDefault="00375088" w:rsidP="00802751">
            <w:pPr>
              <w:jc w:val="center"/>
            </w:pPr>
            <w:r>
              <w:t>40</w:t>
            </w:r>
          </w:p>
        </w:tc>
        <w:tc>
          <w:tcPr>
            <w:tcW w:w="2407" w:type="dxa"/>
          </w:tcPr>
          <w:p w14:paraId="1243A0D8" w14:textId="1CE23856" w:rsidR="00921B52" w:rsidRDefault="00921B52" w:rsidP="00802751">
            <w:pPr>
              <w:jc w:val="center"/>
            </w:pPr>
            <w:r>
              <w:t>10</w:t>
            </w:r>
          </w:p>
        </w:tc>
        <w:tc>
          <w:tcPr>
            <w:tcW w:w="2407" w:type="dxa"/>
          </w:tcPr>
          <w:p w14:paraId="477E3504" w14:textId="24A1A0EC" w:rsidR="00921B52" w:rsidRDefault="00375088" w:rsidP="00802751">
            <w:pPr>
              <w:jc w:val="center"/>
            </w:pPr>
            <w:r>
              <w:t>490.770</w:t>
            </w:r>
          </w:p>
        </w:tc>
      </w:tr>
      <w:tr w:rsidR="00921B52" w14:paraId="30C74F36" w14:textId="77777777" w:rsidTr="00921B52">
        <w:tc>
          <w:tcPr>
            <w:tcW w:w="2407" w:type="dxa"/>
          </w:tcPr>
          <w:p w14:paraId="499E6366" w14:textId="384BAAEE" w:rsidR="00921B52" w:rsidRDefault="00921B52" w:rsidP="00802751">
            <w:pPr>
              <w:jc w:val="center"/>
            </w:pPr>
            <w:r>
              <w:t>2014</w:t>
            </w:r>
          </w:p>
        </w:tc>
        <w:tc>
          <w:tcPr>
            <w:tcW w:w="2407" w:type="dxa"/>
          </w:tcPr>
          <w:p w14:paraId="5C581DA4" w14:textId="14E0ED3D" w:rsidR="00921B52" w:rsidRDefault="00375088" w:rsidP="00802751">
            <w:pPr>
              <w:jc w:val="center"/>
            </w:pPr>
            <w:r>
              <w:t>38</w:t>
            </w:r>
          </w:p>
        </w:tc>
        <w:tc>
          <w:tcPr>
            <w:tcW w:w="2407" w:type="dxa"/>
          </w:tcPr>
          <w:p w14:paraId="3B75F166" w14:textId="014B8B20" w:rsidR="00921B52" w:rsidRDefault="00921B52" w:rsidP="00802751">
            <w:pPr>
              <w:jc w:val="center"/>
            </w:pPr>
            <w:r>
              <w:t>15</w:t>
            </w:r>
          </w:p>
        </w:tc>
        <w:tc>
          <w:tcPr>
            <w:tcW w:w="2407" w:type="dxa"/>
          </w:tcPr>
          <w:p w14:paraId="36BAA135" w14:textId="7DB081B1" w:rsidR="00921B52" w:rsidRPr="0066022F" w:rsidRDefault="00921B52" w:rsidP="00802751">
            <w:pPr>
              <w:jc w:val="center"/>
              <w:rPr>
                <w:highlight w:val="yellow"/>
              </w:rPr>
            </w:pPr>
            <w:r w:rsidRPr="00802751">
              <w:t>466.905</w:t>
            </w:r>
          </w:p>
        </w:tc>
      </w:tr>
      <w:tr w:rsidR="00921B52" w14:paraId="55110734" w14:textId="77777777" w:rsidTr="00921B52">
        <w:tc>
          <w:tcPr>
            <w:tcW w:w="2407" w:type="dxa"/>
          </w:tcPr>
          <w:p w14:paraId="6936A61A" w14:textId="123185EB" w:rsidR="00921B52" w:rsidRDefault="00921B52" w:rsidP="00802751">
            <w:pPr>
              <w:jc w:val="center"/>
            </w:pPr>
            <w:r>
              <w:t>2015</w:t>
            </w:r>
          </w:p>
        </w:tc>
        <w:tc>
          <w:tcPr>
            <w:tcW w:w="2407" w:type="dxa"/>
          </w:tcPr>
          <w:p w14:paraId="708F2B54" w14:textId="52D2F3F6" w:rsidR="00921B52" w:rsidRDefault="0066022F" w:rsidP="00802751">
            <w:pPr>
              <w:jc w:val="center"/>
            </w:pPr>
            <w:r>
              <w:t>35</w:t>
            </w:r>
          </w:p>
        </w:tc>
        <w:tc>
          <w:tcPr>
            <w:tcW w:w="2407" w:type="dxa"/>
          </w:tcPr>
          <w:p w14:paraId="3F7E2755" w14:textId="2BDC8013" w:rsidR="00921B52" w:rsidRDefault="00921B52" w:rsidP="00802751">
            <w:pPr>
              <w:jc w:val="center"/>
            </w:pPr>
            <w:r>
              <w:t>15</w:t>
            </w:r>
          </w:p>
        </w:tc>
        <w:tc>
          <w:tcPr>
            <w:tcW w:w="2407" w:type="dxa"/>
          </w:tcPr>
          <w:p w14:paraId="65B7BE6B" w14:textId="12BECD5F" w:rsidR="00921B52" w:rsidRDefault="00921B52" w:rsidP="00802751">
            <w:pPr>
              <w:jc w:val="center"/>
            </w:pPr>
            <w:r>
              <w:t>378.505</w:t>
            </w:r>
          </w:p>
        </w:tc>
      </w:tr>
      <w:tr w:rsidR="00921B52" w14:paraId="05316C6C" w14:textId="77777777" w:rsidTr="00921B52">
        <w:tc>
          <w:tcPr>
            <w:tcW w:w="2407" w:type="dxa"/>
          </w:tcPr>
          <w:p w14:paraId="094E4B28" w14:textId="4826A9A4" w:rsidR="00921B52" w:rsidRDefault="00FA3D4D" w:rsidP="00802751">
            <w:pPr>
              <w:jc w:val="center"/>
            </w:pPr>
            <w:r>
              <w:t>2016</w:t>
            </w:r>
          </w:p>
        </w:tc>
        <w:tc>
          <w:tcPr>
            <w:tcW w:w="2407" w:type="dxa"/>
          </w:tcPr>
          <w:p w14:paraId="1BA5FB46" w14:textId="70BA78E3" w:rsidR="00921B52" w:rsidRDefault="0066022F" w:rsidP="00802751">
            <w:pPr>
              <w:jc w:val="center"/>
            </w:pPr>
            <w:r>
              <w:t>34</w:t>
            </w:r>
          </w:p>
        </w:tc>
        <w:tc>
          <w:tcPr>
            <w:tcW w:w="2407" w:type="dxa"/>
          </w:tcPr>
          <w:p w14:paraId="49A579AE" w14:textId="4DEF0573" w:rsidR="00921B52" w:rsidRDefault="00FA3D4D" w:rsidP="00802751">
            <w:pPr>
              <w:jc w:val="center"/>
            </w:pPr>
            <w:r>
              <w:t>15</w:t>
            </w:r>
          </w:p>
        </w:tc>
        <w:tc>
          <w:tcPr>
            <w:tcW w:w="2407" w:type="dxa"/>
          </w:tcPr>
          <w:p w14:paraId="6C39EC76" w14:textId="1BC81923" w:rsidR="00921B52" w:rsidRDefault="00FA3D4D" w:rsidP="00802751">
            <w:pPr>
              <w:jc w:val="center"/>
            </w:pPr>
            <w:r>
              <w:t>378.505</w:t>
            </w:r>
          </w:p>
        </w:tc>
      </w:tr>
      <w:tr w:rsidR="00921B52" w14:paraId="6CCAD85A" w14:textId="77777777" w:rsidTr="00921B52">
        <w:tc>
          <w:tcPr>
            <w:tcW w:w="2407" w:type="dxa"/>
          </w:tcPr>
          <w:p w14:paraId="541920F5" w14:textId="7F3C9DD2" w:rsidR="00921B52" w:rsidRDefault="00FA3D4D" w:rsidP="00802751">
            <w:pPr>
              <w:jc w:val="center"/>
            </w:pPr>
            <w:r>
              <w:t>2017</w:t>
            </w:r>
          </w:p>
        </w:tc>
        <w:tc>
          <w:tcPr>
            <w:tcW w:w="2407" w:type="dxa"/>
          </w:tcPr>
          <w:p w14:paraId="631239E8" w14:textId="28EA8AC8" w:rsidR="00921B52" w:rsidRDefault="0066022F" w:rsidP="00802751">
            <w:pPr>
              <w:jc w:val="center"/>
            </w:pPr>
            <w:r>
              <w:t>32</w:t>
            </w:r>
          </w:p>
        </w:tc>
        <w:tc>
          <w:tcPr>
            <w:tcW w:w="2407" w:type="dxa"/>
          </w:tcPr>
          <w:p w14:paraId="4D44707E" w14:textId="5DD10DEF" w:rsidR="00921B52" w:rsidRDefault="00FA3D4D" w:rsidP="00802751">
            <w:pPr>
              <w:jc w:val="center"/>
            </w:pPr>
            <w:r>
              <w:t>20</w:t>
            </w:r>
          </w:p>
        </w:tc>
        <w:tc>
          <w:tcPr>
            <w:tcW w:w="2407" w:type="dxa"/>
          </w:tcPr>
          <w:p w14:paraId="559C6B3D" w14:textId="400208E5" w:rsidR="00921B52" w:rsidRDefault="00FA3D4D" w:rsidP="00802751">
            <w:pPr>
              <w:jc w:val="center"/>
            </w:pPr>
            <w:r>
              <w:t>353.150</w:t>
            </w:r>
          </w:p>
        </w:tc>
      </w:tr>
      <w:tr w:rsidR="00921B52" w14:paraId="3CB259CE" w14:textId="77777777" w:rsidTr="00921B52">
        <w:tc>
          <w:tcPr>
            <w:tcW w:w="2407" w:type="dxa"/>
          </w:tcPr>
          <w:p w14:paraId="3CDAE2B1" w14:textId="3210A540" w:rsidR="00921B52" w:rsidRDefault="00FA3D4D" w:rsidP="00802751">
            <w:pPr>
              <w:jc w:val="center"/>
            </w:pPr>
            <w:r>
              <w:t>2018</w:t>
            </w:r>
          </w:p>
        </w:tc>
        <w:tc>
          <w:tcPr>
            <w:tcW w:w="2407" w:type="dxa"/>
          </w:tcPr>
          <w:p w14:paraId="34376CA7" w14:textId="12F69CE8" w:rsidR="00921B52" w:rsidRDefault="0066022F" w:rsidP="00802751">
            <w:pPr>
              <w:jc w:val="center"/>
            </w:pPr>
            <w:r>
              <w:t>31</w:t>
            </w:r>
          </w:p>
        </w:tc>
        <w:tc>
          <w:tcPr>
            <w:tcW w:w="2407" w:type="dxa"/>
          </w:tcPr>
          <w:p w14:paraId="4D502007" w14:textId="7819DDF8" w:rsidR="00921B52" w:rsidRDefault="00FA3D4D" w:rsidP="00802751">
            <w:pPr>
              <w:jc w:val="center"/>
            </w:pPr>
            <w:r>
              <w:t>20</w:t>
            </w:r>
          </w:p>
        </w:tc>
        <w:tc>
          <w:tcPr>
            <w:tcW w:w="2407" w:type="dxa"/>
          </w:tcPr>
          <w:p w14:paraId="15E992D3" w14:textId="5FCE671D" w:rsidR="00921B52" w:rsidRDefault="00FA3D4D" w:rsidP="00802751">
            <w:pPr>
              <w:jc w:val="center"/>
            </w:pPr>
            <w:r>
              <w:t>353.040</w:t>
            </w:r>
          </w:p>
        </w:tc>
      </w:tr>
      <w:tr w:rsidR="00921B52" w14:paraId="452F6175" w14:textId="77777777" w:rsidTr="00921B52">
        <w:tc>
          <w:tcPr>
            <w:tcW w:w="2407" w:type="dxa"/>
          </w:tcPr>
          <w:p w14:paraId="212C13AC" w14:textId="73FAA563" w:rsidR="00921B52" w:rsidRDefault="00FA3D4D" w:rsidP="00802751">
            <w:pPr>
              <w:jc w:val="center"/>
            </w:pPr>
            <w:r>
              <w:t>2019</w:t>
            </w:r>
          </w:p>
        </w:tc>
        <w:tc>
          <w:tcPr>
            <w:tcW w:w="2407" w:type="dxa"/>
          </w:tcPr>
          <w:p w14:paraId="32FB6D2D" w14:textId="492A0EF1" w:rsidR="00921B52" w:rsidRDefault="0066022F" w:rsidP="00802751">
            <w:pPr>
              <w:jc w:val="center"/>
            </w:pPr>
            <w:r>
              <w:t>30</w:t>
            </w:r>
          </w:p>
        </w:tc>
        <w:tc>
          <w:tcPr>
            <w:tcW w:w="2407" w:type="dxa"/>
          </w:tcPr>
          <w:p w14:paraId="729819F5" w14:textId="4C543129" w:rsidR="00921B52" w:rsidRDefault="00FA3D4D" w:rsidP="00802751">
            <w:pPr>
              <w:jc w:val="center"/>
            </w:pPr>
            <w:r>
              <w:t>25</w:t>
            </w:r>
          </w:p>
        </w:tc>
        <w:tc>
          <w:tcPr>
            <w:tcW w:w="2407" w:type="dxa"/>
          </w:tcPr>
          <w:p w14:paraId="5028B833" w14:textId="7D238EB6" w:rsidR="00921B52" w:rsidRDefault="00FA3D4D" w:rsidP="00802751">
            <w:pPr>
              <w:jc w:val="center"/>
            </w:pPr>
            <w:r>
              <w:t>330.225</w:t>
            </w:r>
          </w:p>
        </w:tc>
      </w:tr>
      <w:tr w:rsidR="00921B52" w14:paraId="1A9EA02F" w14:textId="77777777" w:rsidTr="00921B52">
        <w:tc>
          <w:tcPr>
            <w:tcW w:w="2407" w:type="dxa"/>
          </w:tcPr>
          <w:p w14:paraId="45BA92AE" w14:textId="46322C0B" w:rsidR="00921B52" w:rsidRDefault="00FA3D4D" w:rsidP="00802751">
            <w:pPr>
              <w:jc w:val="center"/>
            </w:pPr>
            <w:r>
              <w:t>2020</w:t>
            </w:r>
          </w:p>
        </w:tc>
        <w:tc>
          <w:tcPr>
            <w:tcW w:w="2407" w:type="dxa"/>
          </w:tcPr>
          <w:p w14:paraId="2199FA80" w14:textId="3157C216" w:rsidR="00921B52" w:rsidRDefault="0066022F" w:rsidP="00802751">
            <w:pPr>
              <w:jc w:val="center"/>
            </w:pPr>
            <w:r>
              <w:t>29</w:t>
            </w:r>
          </w:p>
        </w:tc>
        <w:tc>
          <w:tcPr>
            <w:tcW w:w="2407" w:type="dxa"/>
          </w:tcPr>
          <w:p w14:paraId="2B2BB972" w14:textId="107985F2" w:rsidR="00921B52" w:rsidRDefault="00FA3D4D" w:rsidP="00802751">
            <w:pPr>
              <w:jc w:val="center"/>
            </w:pPr>
            <w:r>
              <w:t>25</w:t>
            </w:r>
          </w:p>
        </w:tc>
        <w:tc>
          <w:tcPr>
            <w:tcW w:w="2407" w:type="dxa"/>
          </w:tcPr>
          <w:p w14:paraId="4776260D" w14:textId="1F3FAA8A" w:rsidR="00921B52" w:rsidRDefault="00FA3D4D" w:rsidP="00802751">
            <w:pPr>
              <w:jc w:val="center"/>
            </w:pPr>
            <w:r>
              <w:t>329.475</w:t>
            </w:r>
          </w:p>
        </w:tc>
      </w:tr>
      <w:tr w:rsidR="00921B52" w14:paraId="4F88664D" w14:textId="77777777" w:rsidTr="00921B52">
        <w:tc>
          <w:tcPr>
            <w:tcW w:w="2407" w:type="dxa"/>
          </w:tcPr>
          <w:p w14:paraId="5273EE49" w14:textId="08821B83" w:rsidR="00921B52" w:rsidRDefault="00FA3D4D" w:rsidP="00802751">
            <w:pPr>
              <w:jc w:val="center"/>
            </w:pPr>
            <w:r>
              <w:t>2021</w:t>
            </w:r>
          </w:p>
        </w:tc>
        <w:tc>
          <w:tcPr>
            <w:tcW w:w="2407" w:type="dxa"/>
          </w:tcPr>
          <w:p w14:paraId="44893DBC" w14:textId="1B1F8643" w:rsidR="00921B52" w:rsidRDefault="0066022F" w:rsidP="00802751">
            <w:pPr>
              <w:jc w:val="center"/>
            </w:pPr>
            <w:r>
              <w:t>29</w:t>
            </w:r>
          </w:p>
        </w:tc>
        <w:tc>
          <w:tcPr>
            <w:tcW w:w="2407" w:type="dxa"/>
          </w:tcPr>
          <w:p w14:paraId="60123F9E" w14:textId="25B5D880" w:rsidR="00921B52" w:rsidRDefault="00FA3D4D" w:rsidP="00802751">
            <w:pPr>
              <w:jc w:val="center"/>
            </w:pPr>
            <w:r>
              <w:t>25</w:t>
            </w:r>
          </w:p>
        </w:tc>
        <w:tc>
          <w:tcPr>
            <w:tcW w:w="2407" w:type="dxa"/>
          </w:tcPr>
          <w:p w14:paraId="371F86F0" w14:textId="3160F7C5" w:rsidR="00921B52" w:rsidRDefault="00FA3D4D" w:rsidP="00802751">
            <w:pPr>
              <w:jc w:val="center"/>
            </w:pPr>
            <w:r>
              <w:t>329.475</w:t>
            </w:r>
          </w:p>
        </w:tc>
      </w:tr>
      <w:tr w:rsidR="00FA3D4D" w14:paraId="1E77940A" w14:textId="77777777" w:rsidTr="00921B52">
        <w:tc>
          <w:tcPr>
            <w:tcW w:w="2407" w:type="dxa"/>
          </w:tcPr>
          <w:p w14:paraId="56CDD506" w14:textId="52219409" w:rsidR="00FA3D4D" w:rsidRDefault="00FA3D4D" w:rsidP="00802751">
            <w:pPr>
              <w:jc w:val="center"/>
            </w:pPr>
            <w:r>
              <w:t>2022</w:t>
            </w:r>
          </w:p>
        </w:tc>
        <w:tc>
          <w:tcPr>
            <w:tcW w:w="2407" w:type="dxa"/>
          </w:tcPr>
          <w:p w14:paraId="31721F4C" w14:textId="185562E3" w:rsidR="00FA3D4D" w:rsidRDefault="0066022F" w:rsidP="00802751">
            <w:pPr>
              <w:jc w:val="center"/>
            </w:pPr>
            <w:r>
              <w:t>29</w:t>
            </w:r>
          </w:p>
        </w:tc>
        <w:tc>
          <w:tcPr>
            <w:tcW w:w="2407" w:type="dxa"/>
          </w:tcPr>
          <w:p w14:paraId="02277178" w14:textId="3F2A4ACC" w:rsidR="00FA3D4D" w:rsidRDefault="00FA3D4D" w:rsidP="00802751">
            <w:pPr>
              <w:jc w:val="center"/>
            </w:pPr>
            <w:r>
              <w:t>25</w:t>
            </w:r>
          </w:p>
        </w:tc>
        <w:tc>
          <w:tcPr>
            <w:tcW w:w="2407" w:type="dxa"/>
          </w:tcPr>
          <w:p w14:paraId="3E38A751" w14:textId="3ABA000E" w:rsidR="00FA3D4D" w:rsidRDefault="00FA3D4D" w:rsidP="00802751">
            <w:pPr>
              <w:jc w:val="center"/>
            </w:pPr>
            <w:r>
              <w:t>329.475</w:t>
            </w:r>
          </w:p>
        </w:tc>
      </w:tr>
      <w:tr w:rsidR="00FA3D4D" w14:paraId="081F60C4" w14:textId="77777777" w:rsidTr="00921B52">
        <w:tc>
          <w:tcPr>
            <w:tcW w:w="2407" w:type="dxa"/>
          </w:tcPr>
          <w:p w14:paraId="07813549" w14:textId="0A231880" w:rsidR="00FA3D4D" w:rsidRDefault="00FA3D4D" w:rsidP="00802751">
            <w:pPr>
              <w:jc w:val="center"/>
            </w:pPr>
            <w:r>
              <w:t>2023</w:t>
            </w:r>
          </w:p>
        </w:tc>
        <w:tc>
          <w:tcPr>
            <w:tcW w:w="2407" w:type="dxa"/>
          </w:tcPr>
          <w:p w14:paraId="02E5E9DF" w14:textId="2E1BCC30" w:rsidR="00FA3D4D" w:rsidRDefault="0066022F" w:rsidP="00802751">
            <w:pPr>
              <w:jc w:val="center"/>
            </w:pPr>
            <w:r>
              <w:t>29</w:t>
            </w:r>
          </w:p>
        </w:tc>
        <w:tc>
          <w:tcPr>
            <w:tcW w:w="2407" w:type="dxa"/>
          </w:tcPr>
          <w:p w14:paraId="4949B3E7" w14:textId="77AC5AE7" w:rsidR="00FA3D4D" w:rsidRDefault="00FA3D4D" w:rsidP="00802751">
            <w:pPr>
              <w:jc w:val="center"/>
            </w:pPr>
            <w:r>
              <w:t>25</w:t>
            </w:r>
          </w:p>
        </w:tc>
        <w:tc>
          <w:tcPr>
            <w:tcW w:w="2407" w:type="dxa"/>
          </w:tcPr>
          <w:p w14:paraId="2B877EFC" w14:textId="30E141D3" w:rsidR="00FA3D4D" w:rsidRDefault="00FA3D4D" w:rsidP="00802751">
            <w:pPr>
              <w:jc w:val="center"/>
            </w:pPr>
            <w:r>
              <w:t>329.475</w:t>
            </w:r>
          </w:p>
        </w:tc>
      </w:tr>
      <w:tr w:rsidR="00FA3D4D" w14:paraId="3BE8AF60" w14:textId="77777777" w:rsidTr="00921B52">
        <w:tc>
          <w:tcPr>
            <w:tcW w:w="2407" w:type="dxa"/>
          </w:tcPr>
          <w:p w14:paraId="39B685EF" w14:textId="0A71908A" w:rsidR="00FA3D4D" w:rsidRDefault="00FA3D4D" w:rsidP="00802751">
            <w:pPr>
              <w:jc w:val="center"/>
            </w:pPr>
            <w:r>
              <w:t>2024</w:t>
            </w:r>
          </w:p>
        </w:tc>
        <w:tc>
          <w:tcPr>
            <w:tcW w:w="2407" w:type="dxa"/>
          </w:tcPr>
          <w:p w14:paraId="2A3CE782" w14:textId="5687F673" w:rsidR="00FA3D4D" w:rsidRDefault="0066022F" w:rsidP="00802751">
            <w:pPr>
              <w:jc w:val="center"/>
            </w:pPr>
            <w:r>
              <w:t>28</w:t>
            </w:r>
          </w:p>
        </w:tc>
        <w:tc>
          <w:tcPr>
            <w:tcW w:w="2407" w:type="dxa"/>
          </w:tcPr>
          <w:p w14:paraId="7D8A3D37" w14:textId="6591BA6D" w:rsidR="00FA3D4D" w:rsidRDefault="00FA3D4D" w:rsidP="00802751">
            <w:pPr>
              <w:jc w:val="center"/>
            </w:pPr>
            <w:r>
              <w:t>25</w:t>
            </w:r>
          </w:p>
        </w:tc>
        <w:tc>
          <w:tcPr>
            <w:tcW w:w="2407" w:type="dxa"/>
          </w:tcPr>
          <w:p w14:paraId="3B5B62C3" w14:textId="7EDAC671" w:rsidR="00FA3D4D" w:rsidRDefault="0066022F" w:rsidP="00802751">
            <w:pPr>
              <w:jc w:val="center"/>
            </w:pPr>
            <w:r>
              <w:t>328.475</w:t>
            </w:r>
          </w:p>
        </w:tc>
      </w:tr>
      <w:bookmarkEnd w:id="0"/>
    </w:tbl>
    <w:p w14:paraId="47BF5A45" w14:textId="77777777" w:rsidR="00921B52" w:rsidRDefault="00921B52" w:rsidP="00802751">
      <w:pPr>
        <w:jc w:val="center"/>
      </w:pPr>
    </w:p>
    <w:p w14:paraId="2BA31E11" w14:textId="77777777" w:rsidR="00802751" w:rsidRDefault="00802751" w:rsidP="00802751">
      <w:pPr>
        <w:jc w:val="center"/>
      </w:pPr>
    </w:p>
    <w:p w14:paraId="4602E0AD" w14:textId="77721EAB" w:rsidR="00802751" w:rsidRDefault="00802751">
      <w:r>
        <w:br w:type="page"/>
      </w:r>
    </w:p>
    <w:p w14:paraId="534C79B0" w14:textId="2300C772" w:rsidR="00802751" w:rsidRDefault="00802751">
      <w:pPr>
        <w:rPr>
          <w:b/>
          <w:bCs/>
          <w:sz w:val="28"/>
          <w:szCs w:val="28"/>
        </w:rPr>
      </w:pPr>
      <w:r w:rsidRPr="00802751">
        <w:rPr>
          <w:b/>
          <w:bCs/>
          <w:sz w:val="28"/>
          <w:szCs w:val="28"/>
        </w:rPr>
        <w:lastRenderedPageBreak/>
        <w:t xml:space="preserve">ANDAMENTO NUMERICO ASSOCIATI E TOTALE CONTRIBUTI 2013 </w:t>
      </w:r>
      <w:r>
        <w:rPr>
          <w:b/>
          <w:bCs/>
          <w:sz w:val="28"/>
          <w:szCs w:val="28"/>
        </w:rPr>
        <w:t>–</w:t>
      </w:r>
      <w:r w:rsidRPr="00802751">
        <w:rPr>
          <w:b/>
          <w:bCs/>
          <w:sz w:val="28"/>
          <w:szCs w:val="28"/>
        </w:rPr>
        <w:t xml:space="preserve"> 2024</w:t>
      </w:r>
    </w:p>
    <w:p w14:paraId="78E68F83" w14:textId="77777777" w:rsidR="00802751" w:rsidRPr="00802751" w:rsidRDefault="00802751">
      <w:pPr>
        <w:rPr>
          <w:b/>
          <w:bCs/>
          <w:sz w:val="28"/>
          <w:szCs w:val="28"/>
        </w:rPr>
      </w:pPr>
    </w:p>
    <w:p w14:paraId="0C74E070" w14:textId="50008626" w:rsidR="00802751" w:rsidRDefault="00802751" w:rsidP="00802751">
      <w:pPr>
        <w:jc w:val="center"/>
      </w:pPr>
      <w:r w:rsidRPr="00802751">
        <w:rPr>
          <w:noProof/>
        </w:rPr>
        <w:drawing>
          <wp:inline distT="0" distB="0" distL="0" distR="0" wp14:anchorId="206B4515" wp14:editId="6FCABEA4">
            <wp:extent cx="4914900" cy="2667000"/>
            <wp:effectExtent l="0" t="0" r="0" b="0"/>
            <wp:docPr id="84552709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667000"/>
                    </a:xfrm>
                    <a:prstGeom prst="rect">
                      <a:avLst/>
                    </a:prstGeom>
                    <a:noFill/>
                    <a:ln>
                      <a:noFill/>
                    </a:ln>
                  </pic:spPr>
                </pic:pic>
              </a:graphicData>
            </a:graphic>
          </wp:inline>
        </w:drawing>
      </w:r>
    </w:p>
    <w:p w14:paraId="07381EB7" w14:textId="77777777" w:rsidR="00802751" w:rsidRDefault="00802751"/>
    <w:p w14:paraId="2EB03C93" w14:textId="77777777" w:rsidR="00802751" w:rsidRDefault="00802751"/>
    <w:p w14:paraId="7222ED37" w14:textId="2BDF8770" w:rsidR="00802751" w:rsidRDefault="00802751">
      <w:r>
        <w:rPr>
          <w:noProof/>
        </w:rPr>
        <w:drawing>
          <wp:inline distT="0" distB="0" distL="0" distR="0" wp14:anchorId="054A7068" wp14:editId="54F67581">
            <wp:extent cx="6667500" cy="3414920"/>
            <wp:effectExtent l="0" t="0" r="0" b="0"/>
            <wp:docPr id="16973088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94552" cy="3428775"/>
                    </a:xfrm>
                    <a:prstGeom prst="rect">
                      <a:avLst/>
                    </a:prstGeom>
                    <a:noFill/>
                  </pic:spPr>
                </pic:pic>
              </a:graphicData>
            </a:graphic>
          </wp:inline>
        </w:drawing>
      </w:r>
    </w:p>
    <w:p w14:paraId="700F6D72" w14:textId="37E548B4" w:rsidR="00802751" w:rsidRDefault="00802751">
      <w:r>
        <w:br w:type="page"/>
      </w:r>
    </w:p>
    <w:p w14:paraId="6AA47B5A" w14:textId="4DD616DD" w:rsidR="00FA3D4D" w:rsidRPr="007401FD" w:rsidRDefault="00FA3D4D" w:rsidP="00BB6CC9">
      <w:pPr>
        <w:jc w:val="both"/>
        <w:rPr>
          <w:b/>
          <w:bCs/>
        </w:rPr>
      </w:pPr>
      <w:r w:rsidRPr="007401FD">
        <w:rPr>
          <w:b/>
          <w:bCs/>
        </w:rPr>
        <w:lastRenderedPageBreak/>
        <w:t>L</w:t>
      </w:r>
      <w:r w:rsidR="007401FD" w:rsidRPr="007401FD">
        <w:rPr>
          <w:b/>
          <w:bCs/>
        </w:rPr>
        <w:t xml:space="preserve">IQUIDITA’ E </w:t>
      </w:r>
      <w:r w:rsidRPr="007401FD">
        <w:rPr>
          <w:b/>
          <w:bCs/>
        </w:rPr>
        <w:t>RISERVA PATRIMONIALE</w:t>
      </w:r>
    </w:p>
    <w:p w14:paraId="32F39F07" w14:textId="77777777" w:rsidR="002113A8" w:rsidRDefault="002113A8" w:rsidP="00BB6CC9">
      <w:pPr>
        <w:jc w:val="both"/>
      </w:pPr>
    </w:p>
    <w:p w14:paraId="2E1F8BAE" w14:textId="2BDE6702" w:rsidR="00FA3D4D" w:rsidRDefault="00FA3D4D" w:rsidP="00BB6CC9">
      <w:pPr>
        <w:jc w:val="both"/>
      </w:pPr>
      <w:r>
        <w:t>Nel corso degli anni, gli utili realizzati a bilancio, per evitare eccessi di liquidità a conto corrente, sono stati investiti in prodotti/strumenti finanziari</w:t>
      </w:r>
      <w:r w:rsidR="00900A6A">
        <w:t xml:space="preserve"> come i </w:t>
      </w:r>
      <w:r w:rsidR="00900A6A" w:rsidRPr="002113A8">
        <w:rPr>
          <w:b/>
          <w:bCs/>
        </w:rPr>
        <w:t>fondi obbligazionari</w:t>
      </w:r>
      <w:r w:rsidR="00900A6A">
        <w:t>,</w:t>
      </w:r>
      <w:r>
        <w:t xml:space="preserve"> di tipo conservativo e/o rischio basso</w:t>
      </w:r>
      <w:r w:rsidR="002113A8">
        <w:t xml:space="preserve"> e</w:t>
      </w:r>
      <w:r>
        <w:t xml:space="preserve"> in polizze assicurative di ramo I a capitale garantito.</w:t>
      </w:r>
    </w:p>
    <w:p w14:paraId="77BC2FF1" w14:textId="2B8399BF" w:rsidR="00900A6A" w:rsidRPr="002113A8" w:rsidRDefault="00900A6A" w:rsidP="00BB6CC9">
      <w:pPr>
        <w:jc w:val="both"/>
        <w:rPr>
          <w:b/>
          <w:bCs/>
        </w:rPr>
      </w:pPr>
      <w:r>
        <w:t xml:space="preserve">Quando </w:t>
      </w:r>
      <w:r w:rsidR="007401FD">
        <w:t>l’ammontare complessivo tra liquidità del conto e investimenti</w:t>
      </w:r>
      <w:r>
        <w:t xml:space="preserve"> raggiunse</w:t>
      </w:r>
      <w:r w:rsidR="002113A8">
        <w:t xml:space="preserve"> e superò</w:t>
      </w:r>
      <w:r>
        <w:t xml:space="preserve"> i 600 mila euro, Giunta e Assemblea decisero di adottare </w:t>
      </w:r>
      <w:r w:rsidRPr="002113A8">
        <w:rPr>
          <w:b/>
          <w:bCs/>
        </w:rPr>
        <w:t>una strategia di riduzione del patrimonio</w:t>
      </w:r>
      <w:r>
        <w:t xml:space="preserve"> attraverso una </w:t>
      </w:r>
      <w:r w:rsidRPr="002113A8">
        <w:rPr>
          <w:b/>
          <w:bCs/>
        </w:rPr>
        <w:t>riduzione dei contributi associativi e dunque dei ricavi che non compensava i costi di esercizio</w:t>
      </w:r>
      <w:r>
        <w:t xml:space="preserve">, proponendo </w:t>
      </w:r>
      <w:r w:rsidRPr="002113A8">
        <w:rPr>
          <w:b/>
          <w:bCs/>
        </w:rPr>
        <w:t>bilanci con perdite che sarebbero state ripianate, appunto, dalla riserva patrimoniale.</w:t>
      </w:r>
    </w:p>
    <w:p w14:paraId="1FAA339B" w14:textId="7F59D7B5" w:rsidR="00900A6A" w:rsidRDefault="00900A6A" w:rsidP="00BB6CC9">
      <w:pPr>
        <w:jc w:val="both"/>
      </w:pPr>
      <w:r>
        <w:t>Di seguito un riepilogo delle variazioni intervenute dal 2013 a oggi.</w:t>
      </w:r>
    </w:p>
    <w:p w14:paraId="294747DF" w14:textId="77777777" w:rsidR="00900A6A" w:rsidRDefault="00900A6A" w:rsidP="00BB6CC9">
      <w:pPr>
        <w:jc w:val="both"/>
      </w:pPr>
    </w:p>
    <w:p w14:paraId="156B3209" w14:textId="54CF87AF" w:rsidR="002113A8" w:rsidRDefault="002113A8" w:rsidP="00BB6CC9">
      <w:pPr>
        <w:jc w:val="both"/>
        <w:rPr>
          <w:b/>
          <w:bCs/>
        </w:rPr>
      </w:pPr>
      <w:r>
        <w:rPr>
          <w:b/>
          <w:bCs/>
        </w:rPr>
        <w:t>ANDAMENTO DELLA RISERVA PATRIMONIALE</w:t>
      </w:r>
    </w:p>
    <w:p w14:paraId="4EBEF785" w14:textId="77777777" w:rsidR="002113A8" w:rsidRDefault="002113A8" w:rsidP="00BB6CC9">
      <w:pPr>
        <w:jc w:val="both"/>
        <w:rPr>
          <w:b/>
          <w:bCs/>
        </w:rPr>
      </w:pPr>
    </w:p>
    <w:p w14:paraId="6E1B9A02" w14:textId="2E593D3D" w:rsidR="002113A8" w:rsidRDefault="002113A8" w:rsidP="002113A8">
      <w:pPr>
        <w:jc w:val="center"/>
        <w:rPr>
          <w:b/>
          <w:bCs/>
        </w:rPr>
      </w:pPr>
      <w:r w:rsidRPr="002113A8">
        <w:rPr>
          <w:noProof/>
        </w:rPr>
        <w:drawing>
          <wp:inline distT="0" distB="0" distL="0" distR="0" wp14:anchorId="33044F33" wp14:editId="44F2B6BD">
            <wp:extent cx="1874520" cy="2659380"/>
            <wp:effectExtent l="0" t="0" r="0" b="7620"/>
            <wp:docPr id="4348840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2659380"/>
                    </a:xfrm>
                    <a:prstGeom prst="rect">
                      <a:avLst/>
                    </a:prstGeom>
                    <a:noFill/>
                    <a:ln>
                      <a:noFill/>
                    </a:ln>
                  </pic:spPr>
                </pic:pic>
              </a:graphicData>
            </a:graphic>
          </wp:inline>
        </w:drawing>
      </w:r>
    </w:p>
    <w:p w14:paraId="4B72E8C7" w14:textId="77777777" w:rsidR="002113A8" w:rsidRDefault="002113A8" w:rsidP="00BB6CC9">
      <w:pPr>
        <w:jc w:val="both"/>
        <w:rPr>
          <w:b/>
          <w:bCs/>
        </w:rPr>
      </w:pPr>
    </w:p>
    <w:p w14:paraId="7FF292CF" w14:textId="3078F354" w:rsidR="00900A6A" w:rsidRDefault="007401FD" w:rsidP="002113A8">
      <w:pPr>
        <w:jc w:val="center"/>
        <w:rPr>
          <w:b/>
          <w:bCs/>
          <w:i/>
          <w:iCs/>
        </w:rPr>
      </w:pPr>
      <w:r w:rsidRPr="002113A8">
        <w:rPr>
          <w:b/>
          <w:bCs/>
          <w:i/>
          <w:iCs/>
        </w:rPr>
        <w:t>N.B. Considerati solo assicurazioni + fondi obbligazionari non la liquidità su conto corrente</w:t>
      </w:r>
    </w:p>
    <w:p w14:paraId="5F5646C0" w14:textId="77777777" w:rsidR="002113A8" w:rsidRDefault="002113A8" w:rsidP="002113A8">
      <w:pPr>
        <w:jc w:val="center"/>
        <w:rPr>
          <w:b/>
          <w:bCs/>
          <w:i/>
          <w:iCs/>
        </w:rPr>
      </w:pPr>
    </w:p>
    <w:p w14:paraId="6DE82448" w14:textId="77777777" w:rsidR="002113A8" w:rsidRDefault="002113A8" w:rsidP="002113A8">
      <w:pPr>
        <w:jc w:val="center"/>
        <w:rPr>
          <w:b/>
          <w:bCs/>
          <w:i/>
          <w:iCs/>
        </w:rPr>
      </w:pPr>
    </w:p>
    <w:p w14:paraId="046B02FC" w14:textId="77777777" w:rsidR="002113A8" w:rsidRDefault="002113A8" w:rsidP="002113A8">
      <w:pPr>
        <w:jc w:val="center"/>
        <w:rPr>
          <w:b/>
          <w:bCs/>
          <w:i/>
          <w:iCs/>
        </w:rPr>
      </w:pPr>
    </w:p>
    <w:p w14:paraId="6EAE5A51" w14:textId="77777777" w:rsidR="002113A8" w:rsidRDefault="002113A8" w:rsidP="002113A8">
      <w:pPr>
        <w:jc w:val="center"/>
        <w:rPr>
          <w:b/>
          <w:bCs/>
          <w:i/>
          <w:iCs/>
        </w:rPr>
      </w:pPr>
    </w:p>
    <w:p w14:paraId="72C6DF21" w14:textId="77777777" w:rsidR="002113A8" w:rsidRDefault="002113A8" w:rsidP="002113A8">
      <w:pPr>
        <w:jc w:val="center"/>
        <w:rPr>
          <w:b/>
          <w:bCs/>
          <w:i/>
          <w:iCs/>
        </w:rPr>
      </w:pPr>
    </w:p>
    <w:p w14:paraId="6C9AC721" w14:textId="77777777" w:rsidR="002113A8" w:rsidRDefault="002113A8" w:rsidP="002113A8">
      <w:pPr>
        <w:jc w:val="center"/>
        <w:rPr>
          <w:b/>
          <w:bCs/>
          <w:i/>
          <w:iCs/>
        </w:rPr>
      </w:pPr>
    </w:p>
    <w:p w14:paraId="1ACE96F7" w14:textId="77777777" w:rsidR="002113A8" w:rsidRDefault="002113A8" w:rsidP="002113A8">
      <w:pPr>
        <w:jc w:val="center"/>
        <w:rPr>
          <w:b/>
          <w:bCs/>
          <w:i/>
          <w:iCs/>
        </w:rPr>
      </w:pPr>
    </w:p>
    <w:p w14:paraId="5B56805C" w14:textId="77777777" w:rsidR="002113A8" w:rsidRDefault="002113A8" w:rsidP="002113A8">
      <w:pPr>
        <w:jc w:val="center"/>
        <w:rPr>
          <w:b/>
          <w:bCs/>
          <w:i/>
          <w:iCs/>
        </w:rPr>
      </w:pPr>
    </w:p>
    <w:p w14:paraId="7DF2EC65" w14:textId="77777777" w:rsidR="002113A8" w:rsidRDefault="002113A8" w:rsidP="002113A8">
      <w:pPr>
        <w:jc w:val="center"/>
        <w:rPr>
          <w:b/>
          <w:bCs/>
          <w:i/>
          <w:iCs/>
        </w:rPr>
      </w:pPr>
    </w:p>
    <w:p w14:paraId="724AFED9" w14:textId="77777777" w:rsidR="002113A8" w:rsidRDefault="002113A8" w:rsidP="002113A8">
      <w:pPr>
        <w:jc w:val="center"/>
        <w:rPr>
          <w:b/>
          <w:bCs/>
          <w:i/>
          <w:iCs/>
        </w:rPr>
      </w:pPr>
    </w:p>
    <w:p w14:paraId="578C37B9" w14:textId="5BF349B6" w:rsidR="002113A8" w:rsidRDefault="002113A8" w:rsidP="002113A8">
      <w:pPr>
        <w:jc w:val="center"/>
        <w:rPr>
          <w:b/>
          <w:bCs/>
          <w:i/>
          <w:iCs/>
        </w:rPr>
      </w:pPr>
      <w:r>
        <w:rPr>
          <w:b/>
          <w:bCs/>
          <w:i/>
          <w:iCs/>
          <w:noProof/>
        </w:rPr>
        <w:drawing>
          <wp:inline distT="0" distB="0" distL="0" distR="0" wp14:anchorId="4C836F2C" wp14:editId="5E76710E">
            <wp:extent cx="6522720" cy="3287310"/>
            <wp:effectExtent l="0" t="0" r="0" b="8890"/>
            <wp:docPr id="205078020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3830" cy="3308028"/>
                    </a:xfrm>
                    <a:prstGeom prst="rect">
                      <a:avLst/>
                    </a:prstGeom>
                    <a:noFill/>
                  </pic:spPr>
                </pic:pic>
              </a:graphicData>
            </a:graphic>
          </wp:inline>
        </w:drawing>
      </w:r>
    </w:p>
    <w:p w14:paraId="3968DDE4" w14:textId="77777777" w:rsidR="001722B1" w:rsidRDefault="001722B1" w:rsidP="002113A8">
      <w:pPr>
        <w:jc w:val="center"/>
        <w:rPr>
          <w:b/>
          <w:bCs/>
          <w:i/>
          <w:iCs/>
        </w:rPr>
      </w:pPr>
    </w:p>
    <w:p w14:paraId="5648F6B1" w14:textId="33C6D401" w:rsidR="001722B1" w:rsidRDefault="001722B1" w:rsidP="001722B1">
      <w:r>
        <w:t>Dai grafici sopra riportati, emerge come, nel giro di dieci anni la riserva patrimoniale, frutto del combinato disposto tra riduzione dei costi di gestione e riduzione delle quote associative annuali, si sia ridotta di 204.701 €, pari al 37%.</w:t>
      </w:r>
    </w:p>
    <w:p w14:paraId="7837CA09" w14:textId="1A69347B" w:rsidR="001722B1" w:rsidRPr="001722B1" w:rsidRDefault="001722B1" w:rsidP="001722B1">
      <w:r>
        <w:t>Nel calcolo non è stata considerata la liquidità su c/c, dal momento che si tratta di cifre fluttuanti necessarie a coprire la gestione corrente.</w:t>
      </w:r>
    </w:p>
    <w:p w14:paraId="76C98548" w14:textId="77777777" w:rsidR="001722B1" w:rsidRDefault="001722B1" w:rsidP="002113A8">
      <w:pPr>
        <w:jc w:val="center"/>
        <w:rPr>
          <w:b/>
          <w:bCs/>
          <w:i/>
          <w:iCs/>
        </w:rPr>
      </w:pPr>
    </w:p>
    <w:p w14:paraId="0D33C59F" w14:textId="233D5767" w:rsidR="001722B1" w:rsidRDefault="001722B1" w:rsidP="001722B1">
      <w:pPr>
        <w:rPr>
          <w:b/>
          <w:bCs/>
        </w:rPr>
      </w:pPr>
      <w:r>
        <w:rPr>
          <w:b/>
          <w:bCs/>
        </w:rPr>
        <w:t>COSTI/RICAVI: CONFRONTO TRA I BILANCI 2019-2023 E PROSPETTIVE FUTURE</w:t>
      </w:r>
    </w:p>
    <w:p w14:paraId="01502F6A" w14:textId="77777777" w:rsidR="001722B1" w:rsidRDefault="001722B1" w:rsidP="001722B1">
      <w:pPr>
        <w:rPr>
          <w:b/>
          <w:bCs/>
        </w:rPr>
      </w:pPr>
    </w:p>
    <w:p w14:paraId="0065DCAF" w14:textId="1ED57B3D" w:rsidR="001722B1" w:rsidRDefault="001722B1" w:rsidP="001722B1">
      <w:r>
        <w:t>Per offrire ulteriori elementi di riflessione, circa la decisioni da assumere in sede di approvazione del bilancio 2025, si ritiene utile presentare una panoramica della gestione degli ultimi cinque anni, mettendo a confronto i costi/ricavi dal 2019 al 2023 (data ultimo bilancio approvato).</w:t>
      </w:r>
    </w:p>
    <w:p w14:paraId="2A675392" w14:textId="1EFEA0BF" w:rsidR="001722B1" w:rsidRDefault="00084851" w:rsidP="001722B1">
      <w:r>
        <w:t>Si veda in proposito la tabella, allegata a parte, per una questione di migliore leggibilità.</w:t>
      </w:r>
    </w:p>
    <w:p w14:paraId="028F830D" w14:textId="77777777" w:rsidR="00027803" w:rsidRDefault="00027803" w:rsidP="001722B1">
      <w:pPr>
        <w:rPr>
          <w:b/>
          <w:bCs/>
        </w:rPr>
      </w:pPr>
    </w:p>
    <w:p w14:paraId="598C5926" w14:textId="77777777" w:rsidR="00314C9F" w:rsidRDefault="00314C9F" w:rsidP="001722B1">
      <w:pPr>
        <w:rPr>
          <w:b/>
          <w:bCs/>
        </w:rPr>
      </w:pPr>
    </w:p>
    <w:p w14:paraId="08CC24B1" w14:textId="77777777" w:rsidR="00314C9F" w:rsidRDefault="00314C9F" w:rsidP="001722B1">
      <w:pPr>
        <w:rPr>
          <w:b/>
          <w:bCs/>
        </w:rPr>
      </w:pPr>
    </w:p>
    <w:p w14:paraId="43C2B3BA" w14:textId="77777777" w:rsidR="00314C9F" w:rsidRDefault="00314C9F" w:rsidP="001722B1">
      <w:pPr>
        <w:rPr>
          <w:b/>
          <w:bCs/>
        </w:rPr>
      </w:pPr>
    </w:p>
    <w:p w14:paraId="02C814CE" w14:textId="77777777" w:rsidR="00314C9F" w:rsidRDefault="00314C9F" w:rsidP="001722B1">
      <w:pPr>
        <w:rPr>
          <w:b/>
          <w:bCs/>
        </w:rPr>
      </w:pPr>
    </w:p>
    <w:p w14:paraId="423E1AB4" w14:textId="77777777" w:rsidR="00314C9F" w:rsidRDefault="00314C9F" w:rsidP="001722B1">
      <w:pPr>
        <w:rPr>
          <w:b/>
          <w:bCs/>
        </w:rPr>
      </w:pPr>
    </w:p>
    <w:p w14:paraId="24EA8D90" w14:textId="77777777" w:rsidR="00314C9F" w:rsidRDefault="00314C9F" w:rsidP="001722B1">
      <w:pPr>
        <w:rPr>
          <w:b/>
          <w:bCs/>
        </w:rPr>
      </w:pPr>
    </w:p>
    <w:p w14:paraId="69AF116B" w14:textId="77777777" w:rsidR="00314C9F" w:rsidRDefault="00314C9F" w:rsidP="001722B1">
      <w:pPr>
        <w:rPr>
          <w:b/>
          <w:bCs/>
        </w:rPr>
      </w:pPr>
    </w:p>
    <w:p w14:paraId="2A9B4CD3" w14:textId="2C02CD6C" w:rsidR="00084851" w:rsidRDefault="00084851" w:rsidP="001722B1">
      <w:pPr>
        <w:rPr>
          <w:b/>
          <w:bCs/>
        </w:rPr>
      </w:pPr>
      <w:r w:rsidRPr="00084851">
        <w:rPr>
          <w:b/>
          <w:bCs/>
        </w:rPr>
        <w:lastRenderedPageBreak/>
        <w:t>CONSIDERAZIONI FINALI</w:t>
      </w:r>
    </w:p>
    <w:p w14:paraId="6171AEC8" w14:textId="77777777" w:rsidR="00084851" w:rsidRDefault="00084851" w:rsidP="001722B1">
      <w:pPr>
        <w:rPr>
          <w:b/>
          <w:bCs/>
        </w:rPr>
      </w:pPr>
    </w:p>
    <w:p w14:paraId="428A0537" w14:textId="1EC97623" w:rsidR="00084851" w:rsidRDefault="00084851" w:rsidP="00084851">
      <w:pPr>
        <w:pStyle w:val="xmsolistparagraph"/>
        <w:numPr>
          <w:ilvl w:val="0"/>
          <w:numId w:val="2"/>
        </w:numPr>
        <w:shd w:val="clear" w:color="auto" w:fill="FFFFFF"/>
        <w:spacing w:before="0" w:beforeAutospacing="0" w:after="0" w:afterAutospacing="0"/>
        <w:rPr>
          <w:rFonts w:asciiTheme="minorHAnsi" w:eastAsiaTheme="minorHAnsi" w:hAnsiTheme="minorHAnsi" w:cstheme="minorBidi"/>
          <w:sz w:val="22"/>
          <w:szCs w:val="22"/>
          <w:u w:val="single"/>
          <w:lang w:eastAsia="en-US"/>
        </w:rPr>
      </w:pPr>
      <w:r w:rsidRPr="00084851">
        <w:rPr>
          <w:rFonts w:asciiTheme="minorHAnsi" w:eastAsiaTheme="minorHAnsi" w:hAnsiTheme="minorHAnsi" w:cstheme="minorBidi"/>
          <w:sz w:val="22"/>
          <w:szCs w:val="22"/>
          <w:lang w:eastAsia="en-US"/>
        </w:rPr>
        <w:t>Dai riepiloghi e da</w:t>
      </w:r>
      <w:r>
        <w:rPr>
          <w:rFonts w:asciiTheme="minorHAnsi" w:eastAsiaTheme="minorHAnsi" w:hAnsiTheme="minorHAnsi" w:cstheme="minorBidi"/>
          <w:sz w:val="22"/>
          <w:szCs w:val="22"/>
          <w:lang w:eastAsia="en-US"/>
        </w:rPr>
        <w:t>i dati presentati,</w:t>
      </w:r>
      <w:r w:rsidRPr="00084851">
        <w:rPr>
          <w:rFonts w:asciiTheme="minorHAnsi" w:eastAsiaTheme="minorHAnsi" w:hAnsiTheme="minorHAnsi" w:cstheme="minorBidi"/>
          <w:sz w:val="22"/>
          <w:szCs w:val="22"/>
          <w:lang w:eastAsia="en-US"/>
        </w:rPr>
        <w:t xml:space="preserve"> si evince che il </w:t>
      </w:r>
      <w:r w:rsidRPr="00084851">
        <w:rPr>
          <w:rFonts w:asciiTheme="minorHAnsi" w:eastAsiaTheme="minorHAnsi" w:hAnsiTheme="minorHAnsi" w:cstheme="minorBidi"/>
          <w:sz w:val="22"/>
          <w:szCs w:val="22"/>
          <w:u w:val="single"/>
          <w:lang w:eastAsia="en-US"/>
        </w:rPr>
        <w:t>valore del totale contributi non copre il totale dei costi per circa 40.000 annui</w:t>
      </w:r>
      <w:r>
        <w:rPr>
          <w:rFonts w:asciiTheme="minorHAnsi" w:eastAsiaTheme="minorHAnsi" w:hAnsiTheme="minorHAnsi" w:cstheme="minorBidi"/>
          <w:sz w:val="22"/>
          <w:szCs w:val="22"/>
          <w:u w:val="single"/>
          <w:lang w:eastAsia="en-US"/>
        </w:rPr>
        <w:t>;</w:t>
      </w:r>
    </w:p>
    <w:p w14:paraId="176B5379" w14:textId="77777777" w:rsidR="008973EE" w:rsidRPr="00084851" w:rsidRDefault="008973EE" w:rsidP="008973EE">
      <w:pPr>
        <w:pStyle w:val="xmsolistparagraph"/>
        <w:shd w:val="clear" w:color="auto" w:fill="FFFFFF"/>
        <w:spacing w:before="0" w:beforeAutospacing="0" w:after="0" w:afterAutospacing="0"/>
        <w:ind w:left="720"/>
        <w:rPr>
          <w:rFonts w:asciiTheme="minorHAnsi" w:eastAsiaTheme="minorHAnsi" w:hAnsiTheme="minorHAnsi" w:cstheme="minorBidi"/>
          <w:sz w:val="22"/>
          <w:szCs w:val="22"/>
          <w:u w:val="single"/>
          <w:lang w:eastAsia="en-US"/>
        </w:rPr>
      </w:pPr>
    </w:p>
    <w:p w14:paraId="43F6E8AB" w14:textId="56D02CC0" w:rsidR="00084851" w:rsidRDefault="00084851" w:rsidP="00084851">
      <w:pPr>
        <w:pStyle w:val="xmsolistparagraph"/>
        <w:numPr>
          <w:ilvl w:val="0"/>
          <w:numId w:val="2"/>
        </w:numPr>
        <w:shd w:val="clear" w:color="auto" w:fill="FFFFFF"/>
        <w:spacing w:before="0" w:beforeAutospacing="0" w:after="0" w:afterAutospacing="0"/>
        <w:rPr>
          <w:rFonts w:asciiTheme="minorHAnsi" w:eastAsiaTheme="minorHAnsi" w:hAnsiTheme="minorHAnsi" w:cstheme="minorBidi"/>
          <w:sz w:val="22"/>
          <w:szCs w:val="22"/>
          <w:lang w:eastAsia="en-US"/>
        </w:rPr>
      </w:pPr>
      <w:r w:rsidRPr="00084851">
        <w:rPr>
          <w:rFonts w:asciiTheme="minorHAnsi" w:eastAsiaTheme="minorHAnsi" w:hAnsiTheme="minorHAnsi" w:cstheme="minorBidi"/>
          <w:sz w:val="22"/>
          <w:szCs w:val="22"/>
          <w:lang w:eastAsia="en-US"/>
        </w:rPr>
        <w:t xml:space="preserve">Lo stesso differenziale è quanto negli ultimi anni è stato smobilizzato dei fondi per fare fronte alle necessità </w:t>
      </w:r>
      <w:r>
        <w:rPr>
          <w:rFonts w:asciiTheme="minorHAnsi" w:eastAsiaTheme="minorHAnsi" w:hAnsiTheme="minorHAnsi" w:cstheme="minorBidi"/>
          <w:sz w:val="22"/>
          <w:szCs w:val="22"/>
          <w:lang w:eastAsia="en-US"/>
        </w:rPr>
        <w:t>di gestione delle spese correnti non coperte dall’ammontare dei contributi;</w:t>
      </w:r>
    </w:p>
    <w:p w14:paraId="15857F7B" w14:textId="77777777" w:rsidR="008973EE" w:rsidRPr="00084851" w:rsidRDefault="008973EE" w:rsidP="008973EE">
      <w:pPr>
        <w:pStyle w:val="xmsolistparagraph"/>
        <w:shd w:val="clear" w:color="auto" w:fill="FFFFFF"/>
        <w:spacing w:before="0" w:beforeAutospacing="0" w:after="0" w:afterAutospacing="0"/>
        <w:rPr>
          <w:rFonts w:asciiTheme="minorHAnsi" w:eastAsiaTheme="minorHAnsi" w:hAnsiTheme="minorHAnsi" w:cstheme="minorBidi"/>
          <w:sz w:val="22"/>
          <w:szCs w:val="22"/>
          <w:lang w:eastAsia="en-US"/>
        </w:rPr>
      </w:pPr>
    </w:p>
    <w:p w14:paraId="7248D238" w14:textId="2F2B7F9C" w:rsidR="00084851" w:rsidRDefault="00084851" w:rsidP="00084851">
      <w:pPr>
        <w:pStyle w:val="xmsolistparagraph"/>
        <w:numPr>
          <w:ilvl w:val="0"/>
          <w:numId w:val="2"/>
        </w:numPr>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Per quanto riguarda il</w:t>
      </w:r>
      <w:r w:rsidRPr="00084851">
        <w:rPr>
          <w:rFonts w:asciiTheme="minorHAnsi" w:eastAsiaTheme="minorHAnsi" w:hAnsiTheme="minorHAnsi" w:cstheme="minorBidi"/>
          <w:sz w:val="22"/>
          <w:szCs w:val="22"/>
          <w:lang w:eastAsia="en-US"/>
        </w:rPr>
        <w:t xml:space="preserve"> 2024 per il momento non è stato smobilizzato nulla perché </w:t>
      </w:r>
      <w:r>
        <w:rPr>
          <w:rFonts w:asciiTheme="minorHAnsi" w:eastAsiaTheme="minorHAnsi" w:hAnsiTheme="minorHAnsi" w:cstheme="minorBidi"/>
          <w:sz w:val="22"/>
          <w:szCs w:val="22"/>
          <w:lang w:eastAsia="en-US"/>
        </w:rPr>
        <w:t xml:space="preserve">in corso d’anno sono state </w:t>
      </w:r>
      <w:r w:rsidRPr="00084851">
        <w:rPr>
          <w:rFonts w:asciiTheme="minorHAnsi" w:eastAsiaTheme="minorHAnsi" w:hAnsiTheme="minorHAnsi" w:cstheme="minorBidi"/>
          <w:sz w:val="22"/>
          <w:szCs w:val="22"/>
          <w:lang w:eastAsia="en-US"/>
        </w:rPr>
        <w:t xml:space="preserve">modificate alcune scadenze di pagamento, ma si prevede che prima dei prossimi versamenti </w:t>
      </w:r>
      <w:r>
        <w:rPr>
          <w:rFonts w:asciiTheme="minorHAnsi" w:eastAsiaTheme="minorHAnsi" w:hAnsiTheme="minorHAnsi" w:cstheme="minorBidi"/>
          <w:sz w:val="22"/>
          <w:szCs w:val="22"/>
          <w:lang w:eastAsia="en-US"/>
        </w:rPr>
        <w:t xml:space="preserve">di </w:t>
      </w:r>
      <w:r w:rsidRPr="00084851">
        <w:rPr>
          <w:rFonts w:asciiTheme="minorHAnsi" w:eastAsiaTheme="minorHAnsi" w:hAnsiTheme="minorHAnsi" w:cstheme="minorBidi"/>
          <w:sz w:val="22"/>
          <w:szCs w:val="22"/>
          <w:lang w:eastAsia="en-US"/>
        </w:rPr>
        <w:t>contributi</w:t>
      </w:r>
      <w:r>
        <w:rPr>
          <w:rFonts w:asciiTheme="minorHAnsi" w:eastAsiaTheme="minorHAnsi" w:hAnsiTheme="minorHAnsi" w:cstheme="minorBidi"/>
          <w:sz w:val="22"/>
          <w:szCs w:val="22"/>
          <w:lang w:eastAsia="en-US"/>
        </w:rPr>
        <w:t xml:space="preserve"> </w:t>
      </w:r>
      <w:r w:rsidR="008973EE">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giugno 2025) </w:t>
      </w:r>
      <w:r w:rsidRPr="00084851">
        <w:rPr>
          <w:rFonts w:asciiTheme="minorHAnsi" w:eastAsiaTheme="minorHAnsi" w:hAnsiTheme="minorHAnsi" w:cstheme="minorBidi"/>
          <w:sz w:val="22"/>
          <w:szCs w:val="22"/>
          <w:lang w:eastAsia="en-US"/>
        </w:rPr>
        <w:t>sarà necessario</w:t>
      </w:r>
      <w:r>
        <w:rPr>
          <w:rFonts w:asciiTheme="minorHAnsi" w:eastAsiaTheme="minorHAnsi" w:hAnsiTheme="minorHAnsi" w:cstheme="minorBidi"/>
          <w:sz w:val="22"/>
          <w:szCs w:val="22"/>
          <w:lang w:eastAsia="en-US"/>
        </w:rPr>
        <w:t xml:space="preserve"> procedere in tal senso, vista anche la previsione del residuo di liquidità al 31/12 prossimo che, tolte tutte le chiusure pagamenti di fine anno, si aggirerà attorno ai 1</w:t>
      </w:r>
      <w:r w:rsidR="004308E1">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0/1</w:t>
      </w:r>
      <w:r w:rsidR="004308E1">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0 mila euro</w:t>
      </w:r>
      <w:r w:rsidR="008973EE">
        <w:rPr>
          <w:rFonts w:asciiTheme="minorHAnsi" w:eastAsiaTheme="minorHAnsi" w:hAnsiTheme="minorHAnsi" w:cstheme="minorBidi"/>
          <w:sz w:val="22"/>
          <w:szCs w:val="22"/>
          <w:lang w:eastAsia="en-US"/>
        </w:rPr>
        <w:t>, non sufficiente per coprire almeno 6 mesi di gestione;</w:t>
      </w:r>
    </w:p>
    <w:p w14:paraId="7D936BCB" w14:textId="77777777" w:rsidR="008973EE" w:rsidRPr="00084851" w:rsidRDefault="008973EE" w:rsidP="008973EE">
      <w:pPr>
        <w:pStyle w:val="xmsolistparagraph"/>
        <w:shd w:val="clear" w:color="auto" w:fill="FFFFFF"/>
        <w:spacing w:before="0" w:beforeAutospacing="0" w:after="0" w:afterAutospacing="0"/>
        <w:rPr>
          <w:rFonts w:asciiTheme="minorHAnsi" w:eastAsiaTheme="minorHAnsi" w:hAnsiTheme="minorHAnsi" w:cstheme="minorBidi"/>
          <w:sz w:val="22"/>
          <w:szCs w:val="22"/>
          <w:lang w:eastAsia="en-US"/>
        </w:rPr>
      </w:pPr>
    </w:p>
    <w:p w14:paraId="6EB58FF9" w14:textId="32CB4D7A" w:rsidR="00084851" w:rsidRDefault="00084851" w:rsidP="00084851">
      <w:pPr>
        <w:pStyle w:val="xmsolistparagraph"/>
        <w:numPr>
          <w:ilvl w:val="0"/>
          <w:numId w:val="2"/>
        </w:numPr>
        <w:shd w:val="clear" w:color="auto" w:fill="FFFFFF"/>
        <w:spacing w:before="0" w:beforeAutospacing="0" w:after="0" w:afterAutospacing="0"/>
        <w:rPr>
          <w:rFonts w:asciiTheme="minorHAnsi" w:eastAsiaTheme="minorHAnsi" w:hAnsiTheme="minorHAnsi" w:cstheme="minorBidi"/>
          <w:sz w:val="22"/>
          <w:szCs w:val="22"/>
          <w:lang w:eastAsia="en-US"/>
        </w:rPr>
      </w:pPr>
      <w:r w:rsidRPr="00084851">
        <w:rPr>
          <w:rFonts w:asciiTheme="minorHAnsi" w:eastAsiaTheme="minorHAnsi" w:hAnsiTheme="minorHAnsi" w:cstheme="minorBidi"/>
          <w:sz w:val="22"/>
          <w:szCs w:val="22"/>
          <w:lang w:eastAsia="en-US"/>
        </w:rPr>
        <w:t>Nei fondi c’è un ammontare che corrisponde circa al fabbisogno di un anno per fare fronte a</w:t>
      </w:r>
      <w:r>
        <w:rPr>
          <w:rFonts w:asciiTheme="minorHAnsi" w:eastAsiaTheme="minorHAnsi" w:hAnsiTheme="minorHAnsi" w:cstheme="minorBidi"/>
          <w:sz w:val="22"/>
          <w:szCs w:val="22"/>
          <w:lang w:eastAsia="en-US"/>
        </w:rPr>
        <w:t xml:space="preserve">lla gestione corrente e agli </w:t>
      </w:r>
      <w:r w:rsidRPr="00084851">
        <w:rPr>
          <w:rFonts w:asciiTheme="minorHAnsi" w:eastAsiaTheme="minorHAnsi" w:hAnsiTheme="minorHAnsi" w:cstheme="minorBidi"/>
          <w:sz w:val="22"/>
          <w:szCs w:val="22"/>
          <w:lang w:eastAsia="en-US"/>
        </w:rPr>
        <w:t>impegni contrattuali in essere (</w:t>
      </w:r>
      <w:r>
        <w:rPr>
          <w:rFonts w:asciiTheme="minorHAnsi" w:eastAsiaTheme="minorHAnsi" w:hAnsiTheme="minorHAnsi" w:cstheme="minorBidi"/>
          <w:sz w:val="22"/>
          <w:szCs w:val="22"/>
          <w:lang w:eastAsia="en-US"/>
        </w:rPr>
        <w:t>contratti personale, fornitori, affitto…), tenendo conto che è necessario</w:t>
      </w:r>
      <w:r w:rsidRPr="00084851">
        <w:rPr>
          <w:rFonts w:asciiTheme="minorHAnsi" w:eastAsiaTheme="minorHAnsi" w:hAnsiTheme="minorHAnsi" w:cstheme="minorBidi"/>
          <w:sz w:val="22"/>
          <w:szCs w:val="22"/>
          <w:lang w:eastAsia="en-US"/>
        </w:rPr>
        <w:t xml:space="preserve"> verificare </w:t>
      </w:r>
      <w:r>
        <w:rPr>
          <w:rFonts w:asciiTheme="minorHAnsi" w:eastAsiaTheme="minorHAnsi" w:hAnsiTheme="minorHAnsi" w:cstheme="minorBidi"/>
          <w:sz w:val="22"/>
          <w:szCs w:val="22"/>
          <w:lang w:eastAsia="en-US"/>
        </w:rPr>
        <w:t xml:space="preserve">gli </w:t>
      </w:r>
      <w:r w:rsidRPr="00084851">
        <w:rPr>
          <w:rFonts w:asciiTheme="minorHAnsi" w:eastAsiaTheme="minorHAnsi" w:hAnsiTheme="minorHAnsi" w:cstheme="minorBidi"/>
          <w:sz w:val="22"/>
          <w:szCs w:val="22"/>
          <w:lang w:eastAsia="en-US"/>
        </w:rPr>
        <w:t>esatti controva</w:t>
      </w:r>
      <w:r>
        <w:rPr>
          <w:rFonts w:asciiTheme="minorHAnsi" w:eastAsiaTheme="minorHAnsi" w:hAnsiTheme="minorHAnsi" w:cstheme="minorBidi"/>
          <w:sz w:val="22"/>
          <w:szCs w:val="22"/>
          <w:lang w:eastAsia="en-US"/>
        </w:rPr>
        <w:t>lori</w:t>
      </w:r>
      <w:r w:rsidRPr="00084851">
        <w:rPr>
          <w:rFonts w:asciiTheme="minorHAnsi" w:eastAsiaTheme="minorHAnsi" w:hAnsiTheme="minorHAnsi" w:cstheme="minorBidi"/>
          <w:sz w:val="22"/>
          <w:szCs w:val="22"/>
          <w:lang w:eastAsia="en-US"/>
        </w:rPr>
        <w:t xml:space="preserve"> dei fondi e </w:t>
      </w:r>
      <w:r>
        <w:rPr>
          <w:rFonts w:asciiTheme="minorHAnsi" w:eastAsiaTheme="minorHAnsi" w:hAnsiTheme="minorHAnsi" w:cstheme="minorBidi"/>
          <w:sz w:val="22"/>
          <w:szCs w:val="22"/>
          <w:lang w:eastAsia="en-US"/>
        </w:rPr>
        <w:t>delle polizze e non quello messo a bilancio</w:t>
      </w:r>
      <w:r w:rsidR="008973EE">
        <w:rPr>
          <w:rFonts w:asciiTheme="minorHAnsi" w:eastAsiaTheme="minorHAnsi" w:hAnsiTheme="minorHAnsi" w:cstheme="minorBidi"/>
          <w:sz w:val="22"/>
          <w:szCs w:val="22"/>
          <w:lang w:eastAsia="en-US"/>
        </w:rPr>
        <w:t>;</w:t>
      </w:r>
    </w:p>
    <w:p w14:paraId="65A096F1" w14:textId="77777777" w:rsidR="008973EE" w:rsidRPr="00084851" w:rsidRDefault="008973EE" w:rsidP="008973EE">
      <w:pPr>
        <w:pStyle w:val="xmsolistparagraph"/>
        <w:shd w:val="clear" w:color="auto" w:fill="FFFFFF"/>
        <w:spacing w:before="0" w:beforeAutospacing="0" w:after="0" w:afterAutospacing="0"/>
        <w:rPr>
          <w:rFonts w:asciiTheme="minorHAnsi" w:eastAsiaTheme="minorHAnsi" w:hAnsiTheme="minorHAnsi" w:cstheme="minorBidi"/>
          <w:sz w:val="22"/>
          <w:szCs w:val="22"/>
          <w:lang w:eastAsia="en-US"/>
        </w:rPr>
      </w:pPr>
    </w:p>
    <w:p w14:paraId="7DA45C86" w14:textId="3DB2F3C9" w:rsidR="008973EE" w:rsidRDefault="00084851" w:rsidP="00084851">
      <w:pPr>
        <w:pStyle w:val="xmsolistparagraph"/>
        <w:numPr>
          <w:ilvl w:val="0"/>
          <w:numId w:val="2"/>
        </w:numPr>
        <w:shd w:val="clear" w:color="auto" w:fill="FFFFFF"/>
        <w:spacing w:before="0" w:beforeAutospacing="0" w:after="0" w:afterAutospacing="0"/>
        <w:rPr>
          <w:rFonts w:asciiTheme="minorHAnsi" w:eastAsiaTheme="minorHAnsi" w:hAnsiTheme="minorHAnsi" w:cstheme="minorBidi"/>
          <w:sz w:val="22"/>
          <w:szCs w:val="22"/>
          <w:lang w:eastAsia="en-US"/>
        </w:rPr>
      </w:pPr>
      <w:r w:rsidRPr="00084851">
        <w:rPr>
          <w:rFonts w:asciiTheme="minorHAnsi" w:eastAsiaTheme="minorHAnsi" w:hAnsiTheme="minorHAnsi" w:cstheme="minorBidi"/>
          <w:sz w:val="22"/>
          <w:szCs w:val="22"/>
          <w:lang w:eastAsia="en-US"/>
        </w:rPr>
        <w:t xml:space="preserve">Considerato che circa </w:t>
      </w:r>
      <w:r w:rsidRPr="008973EE">
        <w:rPr>
          <w:rFonts w:asciiTheme="minorHAnsi" w:eastAsiaTheme="minorHAnsi" w:hAnsiTheme="minorHAnsi" w:cstheme="minorBidi"/>
          <w:b/>
          <w:bCs/>
          <w:sz w:val="22"/>
          <w:szCs w:val="22"/>
          <w:lang w:eastAsia="en-US"/>
        </w:rPr>
        <w:t>1/3 dei costi si riferiscono al personale distaccato</w:t>
      </w:r>
      <w:r w:rsidRPr="00084851">
        <w:rPr>
          <w:rFonts w:asciiTheme="minorHAnsi" w:eastAsiaTheme="minorHAnsi" w:hAnsiTheme="minorHAnsi" w:cstheme="minorBidi"/>
          <w:sz w:val="22"/>
          <w:szCs w:val="22"/>
          <w:lang w:eastAsia="en-US"/>
        </w:rPr>
        <w:t xml:space="preserve"> </w:t>
      </w:r>
      <w:r w:rsidR="008973EE">
        <w:rPr>
          <w:rFonts w:asciiTheme="minorHAnsi" w:eastAsiaTheme="minorHAnsi" w:hAnsiTheme="minorHAnsi" w:cstheme="minorBidi"/>
          <w:sz w:val="22"/>
          <w:szCs w:val="22"/>
          <w:lang w:eastAsia="en-US"/>
        </w:rPr>
        <w:t xml:space="preserve">e che attualmente il valore complessivo di questa voce di costo è ancora in via di definizione, per via delle due maternità, di una sostituzione maternità da avviare nel 2025 e dell’applicazione di un contratto part time, per cui </w:t>
      </w:r>
      <w:r w:rsidR="008973EE" w:rsidRPr="008973EE">
        <w:rPr>
          <w:rFonts w:asciiTheme="minorHAnsi" w:eastAsiaTheme="minorHAnsi" w:hAnsiTheme="minorHAnsi" w:cstheme="minorBidi"/>
          <w:b/>
          <w:bCs/>
          <w:sz w:val="22"/>
          <w:szCs w:val="22"/>
          <w:lang w:eastAsia="en-US"/>
        </w:rPr>
        <w:t>la quantificazione a regime dei costi effettivi dei distacchi</w:t>
      </w:r>
      <w:r w:rsidR="008973EE">
        <w:rPr>
          <w:rFonts w:asciiTheme="minorHAnsi" w:eastAsiaTheme="minorHAnsi" w:hAnsiTheme="minorHAnsi" w:cstheme="minorBidi"/>
          <w:sz w:val="22"/>
          <w:szCs w:val="22"/>
          <w:lang w:eastAsia="en-US"/>
        </w:rPr>
        <w:t xml:space="preserve"> (al netto dei rinnovi contrattuali previsti dagli accordi di categoria e dalla flessibilità oraria consentita per dipendenti che non sono a comando Confservizi) </w:t>
      </w:r>
      <w:r w:rsidR="008973EE" w:rsidRPr="008973EE">
        <w:rPr>
          <w:rFonts w:asciiTheme="minorHAnsi" w:eastAsiaTheme="minorHAnsi" w:hAnsiTheme="minorHAnsi" w:cstheme="minorBidi"/>
          <w:b/>
          <w:bCs/>
          <w:sz w:val="22"/>
          <w:szCs w:val="22"/>
          <w:lang w:eastAsia="en-US"/>
        </w:rPr>
        <w:t>sarà possibile solo a partire dal 2026</w:t>
      </w:r>
      <w:r w:rsidR="008973EE">
        <w:rPr>
          <w:rFonts w:asciiTheme="minorHAnsi" w:eastAsiaTheme="minorHAnsi" w:hAnsiTheme="minorHAnsi" w:cstheme="minorBidi"/>
          <w:sz w:val="22"/>
          <w:szCs w:val="22"/>
          <w:lang w:eastAsia="en-US"/>
        </w:rPr>
        <w:t>;</w:t>
      </w:r>
    </w:p>
    <w:p w14:paraId="257E81DC" w14:textId="77777777" w:rsidR="008973EE" w:rsidRDefault="008973EE" w:rsidP="008973EE">
      <w:pPr>
        <w:pStyle w:val="Paragrafoelenco"/>
      </w:pPr>
    </w:p>
    <w:p w14:paraId="6F67E7E7" w14:textId="5042FC30" w:rsidR="00027803" w:rsidRDefault="008973EE" w:rsidP="00084851">
      <w:pPr>
        <w:pStyle w:val="xmsolistparagraph"/>
        <w:numPr>
          <w:ilvl w:val="0"/>
          <w:numId w:val="2"/>
        </w:numPr>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Considerato altresì che già </w:t>
      </w:r>
      <w:r w:rsidRPr="008973EE">
        <w:rPr>
          <w:rFonts w:asciiTheme="minorHAnsi" w:eastAsiaTheme="minorHAnsi" w:hAnsiTheme="minorHAnsi" w:cstheme="minorBidi"/>
          <w:b/>
          <w:bCs/>
          <w:sz w:val="22"/>
          <w:szCs w:val="22"/>
          <w:lang w:eastAsia="en-US"/>
        </w:rPr>
        <w:t>nel 2024 abbiamo avuto un maggior impegno delle risorse per servizi e attività di studio e ricerca a beneficio degli associati</w:t>
      </w:r>
      <w:r>
        <w:rPr>
          <w:rFonts w:asciiTheme="minorHAnsi" w:eastAsiaTheme="minorHAnsi" w:hAnsiTheme="minorHAnsi" w:cstheme="minorBidi"/>
          <w:sz w:val="22"/>
          <w:szCs w:val="22"/>
          <w:lang w:eastAsia="en-US"/>
        </w:rPr>
        <w:t xml:space="preserve"> (partecipazione alla fiera di Ecomondo, avvio dello studio sul servizio idrico, Coordinamento delle Confservizi del Nord), che verosimilmente </w:t>
      </w:r>
      <w:r w:rsidRPr="003A7622">
        <w:rPr>
          <w:rFonts w:asciiTheme="minorHAnsi" w:eastAsiaTheme="minorHAnsi" w:hAnsiTheme="minorHAnsi" w:cstheme="minorBidi"/>
          <w:b/>
          <w:bCs/>
          <w:sz w:val="22"/>
          <w:szCs w:val="22"/>
          <w:lang w:eastAsia="en-US"/>
        </w:rPr>
        <w:t>tali spese verranno replicate anche nel 2025</w:t>
      </w:r>
      <w:r w:rsidR="00027803">
        <w:rPr>
          <w:rFonts w:asciiTheme="minorHAnsi" w:eastAsiaTheme="minorHAnsi" w:hAnsiTheme="minorHAnsi" w:cstheme="minorBidi"/>
          <w:sz w:val="22"/>
          <w:szCs w:val="22"/>
          <w:lang w:eastAsia="en-US"/>
        </w:rPr>
        <w:t xml:space="preserve"> insieme a tutte le attività previste da:</w:t>
      </w:r>
    </w:p>
    <w:p w14:paraId="0038739F" w14:textId="77777777" w:rsidR="00027803" w:rsidRDefault="00027803" w:rsidP="00027803">
      <w:pPr>
        <w:pStyle w:val="Paragrafoelenco"/>
      </w:pPr>
    </w:p>
    <w:p w14:paraId="4661375F" w14:textId="07CB1F43" w:rsidR="00084851" w:rsidRDefault="00027803" w:rsidP="00027803">
      <w:pPr>
        <w:pStyle w:val="xmsolistparagraph"/>
        <w:numPr>
          <w:ilvl w:val="1"/>
          <w:numId w:val="2"/>
        </w:numPr>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Tema della </w:t>
      </w:r>
      <w:r w:rsidRPr="00027803">
        <w:rPr>
          <w:rFonts w:asciiTheme="minorHAnsi" w:eastAsiaTheme="minorHAnsi" w:hAnsiTheme="minorHAnsi" w:cstheme="minorBidi"/>
          <w:b/>
          <w:bCs/>
          <w:sz w:val="22"/>
          <w:szCs w:val="22"/>
          <w:lang w:eastAsia="en-US"/>
        </w:rPr>
        <w:t>rappresentanza sindacale</w:t>
      </w:r>
      <w:r>
        <w:rPr>
          <w:rFonts w:asciiTheme="minorHAnsi" w:eastAsiaTheme="minorHAnsi" w:hAnsiTheme="minorHAnsi" w:cstheme="minorBidi"/>
          <w:sz w:val="22"/>
          <w:szCs w:val="22"/>
          <w:lang w:eastAsia="en-US"/>
        </w:rPr>
        <w:t xml:space="preserve"> (così come delineato dal Codice Appalti) che, come prima conseguenza porterà all’avvio di </w:t>
      </w:r>
      <w:r w:rsidRPr="00027803">
        <w:rPr>
          <w:rFonts w:asciiTheme="minorHAnsi" w:eastAsiaTheme="minorHAnsi" w:hAnsiTheme="minorHAnsi" w:cstheme="minorBidi"/>
          <w:b/>
          <w:bCs/>
          <w:sz w:val="22"/>
          <w:szCs w:val="22"/>
          <w:lang w:eastAsia="en-US"/>
        </w:rPr>
        <w:t>un’attività di conciliazione sindacale</w:t>
      </w:r>
      <w:r>
        <w:rPr>
          <w:rFonts w:asciiTheme="minorHAnsi" w:eastAsiaTheme="minorHAnsi" w:hAnsiTheme="minorHAnsi" w:cstheme="minorBidi"/>
          <w:sz w:val="22"/>
          <w:szCs w:val="22"/>
          <w:lang w:eastAsia="en-US"/>
        </w:rPr>
        <w:t xml:space="preserve"> delegata da Utilitalia, </w:t>
      </w:r>
      <w:r w:rsidR="008973EE">
        <w:rPr>
          <w:rFonts w:asciiTheme="minorHAnsi" w:eastAsiaTheme="minorHAnsi" w:hAnsiTheme="minorHAnsi" w:cstheme="minorBidi"/>
          <w:sz w:val="22"/>
          <w:szCs w:val="22"/>
          <w:lang w:eastAsia="en-US"/>
        </w:rPr>
        <w:t>che probabilmente necessiterà di avvalersi di una collaborazione esterna</w:t>
      </w:r>
      <w:r w:rsidR="003A7622">
        <w:rPr>
          <w:rFonts w:asciiTheme="minorHAnsi" w:eastAsiaTheme="minorHAnsi" w:hAnsiTheme="minorHAnsi" w:cstheme="minorBidi"/>
          <w:sz w:val="22"/>
          <w:szCs w:val="22"/>
          <w:lang w:eastAsia="en-US"/>
        </w:rPr>
        <w:t xml:space="preserve">; </w:t>
      </w:r>
    </w:p>
    <w:p w14:paraId="05A7BCF3" w14:textId="72631E38" w:rsidR="00027803" w:rsidRPr="00084851" w:rsidRDefault="00027803" w:rsidP="00027803">
      <w:pPr>
        <w:pStyle w:val="xmsolistparagraph"/>
        <w:numPr>
          <w:ilvl w:val="1"/>
          <w:numId w:val="2"/>
        </w:numPr>
        <w:shd w:val="clear" w:color="auto" w:fill="FFFFFF"/>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Inizio </w:t>
      </w:r>
      <w:r w:rsidRPr="00027803">
        <w:rPr>
          <w:rFonts w:asciiTheme="minorHAnsi" w:eastAsiaTheme="minorHAnsi" w:hAnsiTheme="minorHAnsi" w:cstheme="minorBidi"/>
          <w:b/>
          <w:bCs/>
          <w:sz w:val="22"/>
          <w:szCs w:val="22"/>
          <w:lang w:eastAsia="en-US"/>
        </w:rPr>
        <w:t>della nuova legislatura regionale e iniziative istituzionali collegate al posizionamento dell’associazione e all’advocacy su temi specifici</w:t>
      </w:r>
      <w:r>
        <w:rPr>
          <w:rFonts w:asciiTheme="minorHAnsi" w:eastAsiaTheme="minorHAnsi" w:hAnsiTheme="minorHAnsi" w:cstheme="minorBidi"/>
          <w:sz w:val="22"/>
          <w:szCs w:val="22"/>
          <w:lang w:eastAsia="en-US"/>
        </w:rPr>
        <w:t>;</w:t>
      </w:r>
    </w:p>
    <w:p w14:paraId="006B2B22" w14:textId="77777777" w:rsidR="004308E1" w:rsidRDefault="004308E1" w:rsidP="001722B1">
      <w:pPr>
        <w:rPr>
          <w:b/>
          <w:bCs/>
        </w:rPr>
      </w:pPr>
    </w:p>
    <w:p w14:paraId="1A6752B0" w14:textId="7DF4B404" w:rsidR="004308E1" w:rsidRDefault="00404BD9" w:rsidP="001722B1">
      <w:pPr>
        <w:rPr>
          <w:b/>
          <w:bCs/>
        </w:rPr>
      </w:pPr>
      <w:r>
        <w:rPr>
          <w:b/>
          <w:bCs/>
        </w:rPr>
        <w:t>In conclusione, p</w:t>
      </w:r>
      <w:r w:rsidR="004308E1">
        <w:rPr>
          <w:b/>
          <w:bCs/>
        </w:rPr>
        <w:t>er la redazione del budget 2025, si delineano due ipotesi:</w:t>
      </w:r>
    </w:p>
    <w:p w14:paraId="48862409" w14:textId="6C805E12" w:rsidR="004308E1" w:rsidRDefault="004308E1" w:rsidP="004308E1">
      <w:pPr>
        <w:pStyle w:val="Paragrafoelenco"/>
        <w:numPr>
          <w:ilvl w:val="0"/>
          <w:numId w:val="3"/>
        </w:numPr>
      </w:pPr>
      <w:r w:rsidRPr="00404BD9">
        <w:rPr>
          <w:b/>
          <w:bCs/>
        </w:rPr>
        <w:t>Continuare con l'attuale "scontistica</w:t>
      </w:r>
      <w:r w:rsidRPr="004308E1">
        <w:t xml:space="preserve">" </w:t>
      </w:r>
      <w:r>
        <w:t xml:space="preserve">(-25% su quota ordinaria) </w:t>
      </w:r>
      <w:r w:rsidRPr="004308E1">
        <w:t>e dunque utilizzare fino al completo esaurimento il patrimonio con disinvestimenti progressivi (come avvenuto negli ultimi anni).</w:t>
      </w:r>
    </w:p>
    <w:p w14:paraId="4A487071" w14:textId="77777777" w:rsidR="00404BD9" w:rsidRPr="004308E1" w:rsidRDefault="00404BD9" w:rsidP="00404BD9">
      <w:pPr>
        <w:pStyle w:val="Paragrafoelenco"/>
      </w:pPr>
    </w:p>
    <w:p w14:paraId="5D215BCA" w14:textId="2F97B4B1" w:rsidR="004308E1" w:rsidRPr="004308E1" w:rsidRDefault="004308E1" w:rsidP="004308E1">
      <w:pPr>
        <w:pStyle w:val="Paragrafoelenco"/>
        <w:numPr>
          <w:ilvl w:val="0"/>
          <w:numId w:val="3"/>
        </w:numPr>
      </w:pPr>
      <w:r w:rsidRPr="00404BD9">
        <w:rPr>
          <w:b/>
          <w:bCs/>
        </w:rPr>
        <w:t xml:space="preserve">Valutare, a valle della previsione di chiusura del bilancio 2024 e della perdita generata in questo esercizio, una diminuzione della scontistica </w:t>
      </w:r>
      <w:r w:rsidRPr="00404BD9">
        <w:rPr>
          <w:b/>
          <w:bCs/>
        </w:rPr>
        <w:t>dei contributi associativi</w:t>
      </w:r>
      <w:r w:rsidRPr="004308E1">
        <w:t xml:space="preserve"> con l'obiettivo di aumentare in via prudenziale i ricavi, per ambire al pareggio di bilancio o perlomeno a perdite più contenute</w:t>
      </w:r>
      <w:r w:rsidR="00404BD9">
        <w:t>. L’obiettivo è quello di</w:t>
      </w:r>
      <w:r w:rsidRPr="004308E1">
        <w:t xml:space="preserve"> conservare quel "cassetto di sicurezza" patrimoniale pari ad un anno di </w:t>
      </w:r>
      <w:r w:rsidRPr="004308E1">
        <w:lastRenderedPageBreak/>
        <w:t>bilancio che consenta di gestire con tranquillità incrementi di attività, eventuali obbligazioni verso dipendenti, fornitori ecc a tutela dell'associazione.</w:t>
      </w:r>
    </w:p>
    <w:p w14:paraId="3CC56830" w14:textId="1032E198" w:rsidR="004308E1" w:rsidRPr="00404BD9" w:rsidRDefault="004308E1" w:rsidP="00404BD9">
      <w:pPr>
        <w:ind w:left="360"/>
        <w:rPr>
          <w:b/>
          <w:bCs/>
        </w:rPr>
      </w:pPr>
    </w:p>
    <w:sectPr w:rsidR="004308E1" w:rsidRPr="00404B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984"/>
    <w:multiLevelType w:val="multilevel"/>
    <w:tmpl w:val="0FFEC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C4820"/>
    <w:multiLevelType w:val="hybridMultilevel"/>
    <w:tmpl w:val="CF382AC6"/>
    <w:lvl w:ilvl="0" w:tplc="1708FE4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38342C"/>
    <w:multiLevelType w:val="hybridMultilevel"/>
    <w:tmpl w:val="6354EE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9971205">
    <w:abstractNumId w:val="1"/>
  </w:num>
  <w:num w:numId="2" w16cid:durableId="1982688517">
    <w:abstractNumId w:val="0"/>
  </w:num>
  <w:num w:numId="3" w16cid:durableId="11541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C8"/>
    <w:rsid w:val="000006AD"/>
    <w:rsid w:val="0000097E"/>
    <w:rsid w:val="00001CEF"/>
    <w:rsid w:val="00002B5C"/>
    <w:rsid w:val="00011C29"/>
    <w:rsid w:val="000138E8"/>
    <w:rsid w:val="0002457A"/>
    <w:rsid w:val="00027803"/>
    <w:rsid w:val="0003245B"/>
    <w:rsid w:val="000345F5"/>
    <w:rsid w:val="00034845"/>
    <w:rsid w:val="000360D2"/>
    <w:rsid w:val="00036CC4"/>
    <w:rsid w:val="000435C2"/>
    <w:rsid w:val="00044E34"/>
    <w:rsid w:val="000455D9"/>
    <w:rsid w:val="00051E36"/>
    <w:rsid w:val="0005543A"/>
    <w:rsid w:val="00056086"/>
    <w:rsid w:val="00060856"/>
    <w:rsid w:val="000654B1"/>
    <w:rsid w:val="000700C2"/>
    <w:rsid w:val="00070372"/>
    <w:rsid w:val="0007081C"/>
    <w:rsid w:val="000714FA"/>
    <w:rsid w:val="0007319B"/>
    <w:rsid w:val="000748BA"/>
    <w:rsid w:val="000767E0"/>
    <w:rsid w:val="00081747"/>
    <w:rsid w:val="00084851"/>
    <w:rsid w:val="00087655"/>
    <w:rsid w:val="000948CE"/>
    <w:rsid w:val="00094C65"/>
    <w:rsid w:val="00095439"/>
    <w:rsid w:val="000B753B"/>
    <w:rsid w:val="000C3B12"/>
    <w:rsid w:val="000C3EE1"/>
    <w:rsid w:val="000D1F36"/>
    <w:rsid w:val="000D245E"/>
    <w:rsid w:val="000D5733"/>
    <w:rsid w:val="000D5908"/>
    <w:rsid w:val="000D5B8F"/>
    <w:rsid w:val="000E0157"/>
    <w:rsid w:val="000E2665"/>
    <w:rsid w:val="000E50C5"/>
    <w:rsid w:val="000E7B8C"/>
    <w:rsid w:val="000F07BE"/>
    <w:rsid w:val="000F71FC"/>
    <w:rsid w:val="00104FC7"/>
    <w:rsid w:val="00105134"/>
    <w:rsid w:val="00116E3D"/>
    <w:rsid w:val="001233E2"/>
    <w:rsid w:val="00127A3B"/>
    <w:rsid w:val="0013506D"/>
    <w:rsid w:val="00136A6D"/>
    <w:rsid w:val="00140CBA"/>
    <w:rsid w:val="001607BD"/>
    <w:rsid w:val="001722B1"/>
    <w:rsid w:val="00172543"/>
    <w:rsid w:val="001753AE"/>
    <w:rsid w:val="00175E00"/>
    <w:rsid w:val="00180DE3"/>
    <w:rsid w:val="00185BF1"/>
    <w:rsid w:val="0019345C"/>
    <w:rsid w:val="001959BD"/>
    <w:rsid w:val="001A0788"/>
    <w:rsid w:val="001A31AB"/>
    <w:rsid w:val="001A3F47"/>
    <w:rsid w:val="001A3FAC"/>
    <w:rsid w:val="001A4478"/>
    <w:rsid w:val="001A500C"/>
    <w:rsid w:val="001A5ED9"/>
    <w:rsid w:val="001A5FBE"/>
    <w:rsid w:val="001A7FB2"/>
    <w:rsid w:val="001B0736"/>
    <w:rsid w:val="001B161D"/>
    <w:rsid w:val="001B2070"/>
    <w:rsid w:val="001B4C96"/>
    <w:rsid w:val="001B6E39"/>
    <w:rsid w:val="001B7455"/>
    <w:rsid w:val="001C56BA"/>
    <w:rsid w:val="001C7343"/>
    <w:rsid w:val="001E4EA9"/>
    <w:rsid w:val="001F1BDC"/>
    <w:rsid w:val="001F45C0"/>
    <w:rsid w:val="001F4AC8"/>
    <w:rsid w:val="001F5680"/>
    <w:rsid w:val="002011C3"/>
    <w:rsid w:val="00202B35"/>
    <w:rsid w:val="002113A8"/>
    <w:rsid w:val="002146FE"/>
    <w:rsid w:val="0021649C"/>
    <w:rsid w:val="00216530"/>
    <w:rsid w:val="00222198"/>
    <w:rsid w:val="00223AD7"/>
    <w:rsid w:val="0023438D"/>
    <w:rsid w:val="00234484"/>
    <w:rsid w:val="00234AB8"/>
    <w:rsid w:val="00242F97"/>
    <w:rsid w:val="002474CA"/>
    <w:rsid w:val="002545A1"/>
    <w:rsid w:val="00261BD0"/>
    <w:rsid w:val="0026398C"/>
    <w:rsid w:val="00267E1B"/>
    <w:rsid w:val="00272110"/>
    <w:rsid w:val="002772EC"/>
    <w:rsid w:val="00281F74"/>
    <w:rsid w:val="00284507"/>
    <w:rsid w:val="00286944"/>
    <w:rsid w:val="00291C09"/>
    <w:rsid w:val="00295A4D"/>
    <w:rsid w:val="002A0A75"/>
    <w:rsid w:val="002A32FF"/>
    <w:rsid w:val="002A40DC"/>
    <w:rsid w:val="002B0427"/>
    <w:rsid w:val="002B13AD"/>
    <w:rsid w:val="002B5A72"/>
    <w:rsid w:val="002B6F63"/>
    <w:rsid w:val="002B7FC5"/>
    <w:rsid w:val="002B7FC6"/>
    <w:rsid w:val="002C235E"/>
    <w:rsid w:val="002C36D6"/>
    <w:rsid w:val="002C3AC1"/>
    <w:rsid w:val="002C628F"/>
    <w:rsid w:val="002D1E5F"/>
    <w:rsid w:val="00304C32"/>
    <w:rsid w:val="00310913"/>
    <w:rsid w:val="00314C9F"/>
    <w:rsid w:val="003152A8"/>
    <w:rsid w:val="00320389"/>
    <w:rsid w:val="00326CB0"/>
    <w:rsid w:val="00332CCE"/>
    <w:rsid w:val="003334A4"/>
    <w:rsid w:val="00333EA1"/>
    <w:rsid w:val="00337B8B"/>
    <w:rsid w:val="00340B33"/>
    <w:rsid w:val="00342D5F"/>
    <w:rsid w:val="00346B06"/>
    <w:rsid w:val="00347662"/>
    <w:rsid w:val="00355E80"/>
    <w:rsid w:val="00363A40"/>
    <w:rsid w:val="00365DBD"/>
    <w:rsid w:val="00367FC5"/>
    <w:rsid w:val="00374F2E"/>
    <w:rsid w:val="00375088"/>
    <w:rsid w:val="00391938"/>
    <w:rsid w:val="003949A4"/>
    <w:rsid w:val="00395B65"/>
    <w:rsid w:val="00397697"/>
    <w:rsid w:val="003A1678"/>
    <w:rsid w:val="003A7622"/>
    <w:rsid w:val="003B0845"/>
    <w:rsid w:val="003B4D22"/>
    <w:rsid w:val="003B5890"/>
    <w:rsid w:val="003B7339"/>
    <w:rsid w:val="003C18F2"/>
    <w:rsid w:val="003C2946"/>
    <w:rsid w:val="003C4B58"/>
    <w:rsid w:val="003D239C"/>
    <w:rsid w:val="003D7BB9"/>
    <w:rsid w:val="003E110E"/>
    <w:rsid w:val="003E20ED"/>
    <w:rsid w:val="0040047D"/>
    <w:rsid w:val="00400566"/>
    <w:rsid w:val="00404587"/>
    <w:rsid w:val="00404A47"/>
    <w:rsid w:val="00404BD9"/>
    <w:rsid w:val="00404FE3"/>
    <w:rsid w:val="00405210"/>
    <w:rsid w:val="00405330"/>
    <w:rsid w:val="004058E0"/>
    <w:rsid w:val="00411124"/>
    <w:rsid w:val="00413319"/>
    <w:rsid w:val="00413C46"/>
    <w:rsid w:val="00413E40"/>
    <w:rsid w:val="00420FF4"/>
    <w:rsid w:val="00424567"/>
    <w:rsid w:val="0042512E"/>
    <w:rsid w:val="004252C6"/>
    <w:rsid w:val="00426B9A"/>
    <w:rsid w:val="00427CBD"/>
    <w:rsid w:val="004308E1"/>
    <w:rsid w:val="00431EBC"/>
    <w:rsid w:val="004329C7"/>
    <w:rsid w:val="00432B20"/>
    <w:rsid w:val="00433B46"/>
    <w:rsid w:val="00444370"/>
    <w:rsid w:val="00444827"/>
    <w:rsid w:val="00453624"/>
    <w:rsid w:val="00454EB3"/>
    <w:rsid w:val="00454F5E"/>
    <w:rsid w:val="00460725"/>
    <w:rsid w:val="004644B6"/>
    <w:rsid w:val="004722AD"/>
    <w:rsid w:val="004829E7"/>
    <w:rsid w:val="00491F53"/>
    <w:rsid w:val="004A1BF9"/>
    <w:rsid w:val="004A3D57"/>
    <w:rsid w:val="004A5570"/>
    <w:rsid w:val="004B29A3"/>
    <w:rsid w:val="004B3877"/>
    <w:rsid w:val="004C46C6"/>
    <w:rsid w:val="004C6424"/>
    <w:rsid w:val="004D504B"/>
    <w:rsid w:val="004D6C27"/>
    <w:rsid w:val="004D6EE5"/>
    <w:rsid w:val="004E3F95"/>
    <w:rsid w:val="004E5F89"/>
    <w:rsid w:val="004F025E"/>
    <w:rsid w:val="004F4E4F"/>
    <w:rsid w:val="004F5E20"/>
    <w:rsid w:val="004F6772"/>
    <w:rsid w:val="00510026"/>
    <w:rsid w:val="00512C9B"/>
    <w:rsid w:val="00514CF7"/>
    <w:rsid w:val="00515D2F"/>
    <w:rsid w:val="0052102E"/>
    <w:rsid w:val="00522FEC"/>
    <w:rsid w:val="0052582E"/>
    <w:rsid w:val="005262C0"/>
    <w:rsid w:val="00531D91"/>
    <w:rsid w:val="005330A2"/>
    <w:rsid w:val="00533B02"/>
    <w:rsid w:val="00541013"/>
    <w:rsid w:val="00543C59"/>
    <w:rsid w:val="00546433"/>
    <w:rsid w:val="00551ADC"/>
    <w:rsid w:val="0055203F"/>
    <w:rsid w:val="00553081"/>
    <w:rsid w:val="00554712"/>
    <w:rsid w:val="0055568B"/>
    <w:rsid w:val="0056228A"/>
    <w:rsid w:val="00563032"/>
    <w:rsid w:val="005639FA"/>
    <w:rsid w:val="00565CAB"/>
    <w:rsid w:val="005711A5"/>
    <w:rsid w:val="0057499F"/>
    <w:rsid w:val="00576E76"/>
    <w:rsid w:val="00580A29"/>
    <w:rsid w:val="00581220"/>
    <w:rsid w:val="00584EEF"/>
    <w:rsid w:val="00586174"/>
    <w:rsid w:val="005870E1"/>
    <w:rsid w:val="00594239"/>
    <w:rsid w:val="0059547C"/>
    <w:rsid w:val="00595A76"/>
    <w:rsid w:val="00595F86"/>
    <w:rsid w:val="005A39D2"/>
    <w:rsid w:val="005A68C3"/>
    <w:rsid w:val="005B08A7"/>
    <w:rsid w:val="005B1605"/>
    <w:rsid w:val="005B5C20"/>
    <w:rsid w:val="005C0C43"/>
    <w:rsid w:val="005C1A6F"/>
    <w:rsid w:val="005C3D9F"/>
    <w:rsid w:val="005C5DB7"/>
    <w:rsid w:val="005C630B"/>
    <w:rsid w:val="005C7E07"/>
    <w:rsid w:val="005D5E6F"/>
    <w:rsid w:val="005D6A41"/>
    <w:rsid w:val="005E41AC"/>
    <w:rsid w:val="005E769A"/>
    <w:rsid w:val="005E7E87"/>
    <w:rsid w:val="005F00BA"/>
    <w:rsid w:val="005F0BA6"/>
    <w:rsid w:val="005F0DBB"/>
    <w:rsid w:val="005F242B"/>
    <w:rsid w:val="00602588"/>
    <w:rsid w:val="006039D4"/>
    <w:rsid w:val="006209AD"/>
    <w:rsid w:val="00620D83"/>
    <w:rsid w:val="0062546F"/>
    <w:rsid w:val="006260E9"/>
    <w:rsid w:val="0063710A"/>
    <w:rsid w:val="00642B9A"/>
    <w:rsid w:val="006454FC"/>
    <w:rsid w:val="00651619"/>
    <w:rsid w:val="006531F3"/>
    <w:rsid w:val="006557AE"/>
    <w:rsid w:val="0065737C"/>
    <w:rsid w:val="00657D14"/>
    <w:rsid w:val="0066022F"/>
    <w:rsid w:val="006642C2"/>
    <w:rsid w:val="00673459"/>
    <w:rsid w:val="00677D85"/>
    <w:rsid w:val="006835E4"/>
    <w:rsid w:val="00692EB2"/>
    <w:rsid w:val="00693593"/>
    <w:rsid w:val="00697BA8"/>
    <w:rsid w:val="006A20C4"/>
    <w:rsid w:val="006A5295"/>
    <w:rsid w:val="006B0E17"/>
    <w:rsid w:val="006B6348"/>
    <w:rsid w:val="006B729D"/>
    <w:rsid w:val="006B746A"/>
    <w:rsid w:val="006C03F0"/>
    <w:rsid w:val="006C1105"/>
    <w:rsid w:val="006C4820"/>
    <w:rsid w:val="006C63AB"/>
    <w:rsid w:val="006D16B3"/>
    <w:rsid w:val="006D52BE"/>
    <w:rsid w:val="006E4EBC"/>
    <w:rsid w:val="006E4FB8"/>
    <w:rsid w:val="006F351D"/>
    <w:rsid w:val="006F4D99"/>
    <w:rsid w:val="007005A1"/>
    <w:rsid w:val="00701CFB"/>
    <w:rsid w:val="007105AD"/>
    <w:rsid w:val="00712F51"/>
    <w:rsid w:val="00717D76"/>
    <w:rsid w:val="00721A18"/>
    <w:rsid w:val="00721E85"/>
    <w:rsid w:val="0073179E"/>
    <w:rsid w:val="00735023"/>
    <w:rsid w:val="00736772"/>
    <w:rsid w:val="00736992"/>
    <w:rsid w:val="007401FD"/>
    <w:rsid w:val="00742C21"/>
    <w:rsid w:val="00743655"/>
    <w:rsid w:val="0075320E"/>
    <w:rsid w:val="00756292"/>
    <w:rsid w:val="00762B0A"/>
    <w:rsid w:val="00774E7C"/>
    <w:rsid w:val="00777238"/>
    <w:rsid w:val="00782D42"/>
    <w:rsid w:val="00783209"/>
    <w:rsid w:val="007838EA"/>
    <w:rsid w:val="00790A5F"/>
    <w:rsid w:val="00796F0D"/>
    <w:rsid w:val="00797DFD"/>
    <w:rsid w:val="007A00C7"/>
    <w:rsid w:val="007A201D"/>
    <w:rsid w:val="007A7A1D"/>
    <w:rsid w:val="007B20F0"/>
    <w:rsid w:val="007B6754"/>
    <w:rsid w:val="007C0344"/>
    <w:rsid w:val="007C4378"/>
    <w:rsid w:val="007C59A2"/>
    <w:rsid w:val="007C68FE"/>
    <w:rsid w:val="007C6DDC"/>
    <w:rsid w:val="007C7D67"/>
    <w:rsid w:val="007D28EB"/>
    <w:rsid w:val="007D2AA2"/>
    <w:rsid w:val="007E356A"/>
    <w:rsid w:val="007E45C5"/>
    <w:rsid w:val="007E4C6D"/>
    <w:rsid w:val="007E7A06"/>
    <w:rsid w:val="007F18F7"/>
    <w:rsid w:val="007F5AE9"/>
    <w:rsid w:val="007F6B2B"/>
    <w:rsid w:val="007F7ADA"/>
    <w:rsid w:val="00802751"/>
    <w:rsid w:val="00802C3D"/>
    <w:rsid w:val="00805833"/>
    <w:rsid w:val="0081387A"/>
    <w:rsid w:val="00815301"/>
    <w:rsid w:val="0081564D"/>
    <w:rsid w:val="00820CFA"/>
    <w:rsid w:val="00821183"/>
    <w:rsid w:val="00822A6D"/>
    <w:rsid w:val="008246B1"/>
    <w:rsid w:val="00826EAF"/>
    <w:rsid w:val="00830A2C"/>
    <w:rsid w:val="00831ED2"/>
    <w:rsid w:val="00831EE9"/>
    <w:rsid w:val="00835BB8"/>
    <w:rsid w:val="008449B0"/>
    <w:rsid w:val="00852A94"/>
    <w:rsid w:val="00852D18"/>
    <w:rsid w:val="00861E5F"/>
    <w:rsid w:val="00862454"/>
    <w:rsid w:val="008632CD"/>
    <w:rsid w:val="00866783"/>
    <w:rsid w:val="00867CE9"/>
    <w:rsid w:val="0087128A"/>
    <w:rsid w:val="00871BFC"/>
    <w:rsid w:val="0087335B"/>
    <w:rsid w:val="00875761"/>
    <w:rsid w:val="008778EF"/>
    <w:rsid w:val="00880A33"/>
    <w:rsid w:val="0088298A"/>
    <w:rsid w:val="008839FD"/>
    <w:rsid w:val="00884005"/>
    <w:rsid w:val="0088476E"/>
    <w:rsid w:val="008862C9"/>
    <w:rsid w:val="00886ADF"/>
    <w:rsid w:val="0088775D"/>
    <w:rsid w:val="0089318B"/>
    <w:rsid w:val="008953D9"/>
    <w:rsid w:val="008973EE"/>
    <w:rsid w:val="008A32B5"/>
    <w:rsid w:val="008A4660"/>
    <w:rsid w:val="008A4D48"/>
    <w:rsid w:val="008A56AB"/>
    <w:rsid w:val="008B1CE8"/>
    <w:rsid w:val="008B32AC"/>
    <w:rsid w:val="008B3E19"/>
    <w:rsid w:val="008B4386"/>
    <w:rsid w:val="008B48AA"/>
    <w:rsid w:val="008C10C8"/>
    <w:rsid w:val="008C634D"/>
    <w:rsid w:val="008D06F4"/>
    <w:rsid w:val="008D1F1F"/>
    <w:rsid w:val="008D3A59"/>
    <w:rsid w:val="008D75B5"/>
    <w:rsid w:val="008D7EEE"/>
    <w:rsid w:val="008E1ABC"/>
    <w:rsid w:val="008E542D"/>
    <w:rsid w:val="008F2F4C"/>
    <w:rsid w:val="008F38BC"/>
    <w:rsid w:val="008F3DF5"/>
    <w:rsid w:val="00900A6A"/>
    <w:rsid w:val="00903BE3"/>
    <w:rsid w:val="00905D91"/>
    <w:rsid w:val="0091053D"/>
    <w:rsid w:val="00913916"/>
    <w:rsid w:val="00914BF6"/>
    <w:rsid w:val="00916E32"/>
    <w:rsid w:val="00921B52"/>
    <w:rsid w:val="00927368"/>
    <w:rsid w:val="00932563"/>
    <w:rsid w:val="00933ADB"/>
    <w:rsid w:val="00933CB9"/>
    <w:rsid w:val="00946793"/>
    <w:rsid w:val="009476B5"/>
    <w:rsid w:val="00951559"/>
    <w:rsid w:val="0095345E"/>
    <w:rsid w:val="00964714"/>
    <w:rsid w:val="00976F8D"/>
    <w:rsid w:val="00980A79"/>
    <w:rsid w:val="0098104D"/>
    <w:rsid w:val="00983A77"/>
    <w:rsid w:val="009846ED"/>
    <w:rsid w:val="00984AC8"/>
    <w:rsid w:val="00984CD5"/>
    <w:rsid w:val="0098717B"/>
    <w:rsid w:val="009A4442"/>
    <w:rsid w:val="009A49A2"/>
    <w:rsid w:val="009A4E92"/>
    <w:rsid w:val="009A546F"/>
    <w:rsid w:val="009A6F20"/>
    <w:rsid w:val="009B1E8A"/>
    <w:rsid w:val="009B4F87"/>
    <w:rsid w:val="009C1EC4"/>
    <w:rsid w:val="009C6A96"/>
    <w:rsid w:val="009D3707"/>
    <w:rsid w:val="009D749F"/>
    <w:rsid w:val="009E2119"/>
    <w:rsid w:val="009E2EB4"/>
    <w:rsid w:val="009E634B"/>
    <w:rsid w:val="009E7828"/>
    <w:rsid w:val="009F090A"/>
    <w:rsid w:val="00A001CA"/>
    <w:rsid w:val="00A003BF"/>
    <w:rsid w:val="00A066BE"/>
    <w:rsid w:val="00A11357"/>
    <w:rsid w:val="00A117CF"/>
    <w:rsid w:val="00A161E3"/>
    <w:rsid w:val="00A2081E"/>
    <w:rsid w:val="00A24414"/>
    <w:rsid w:val="00A25450"/>
    <w:rsid w:val="00A30A86"/>
    <w:rsid w:val="00A32F53"/>
    <w:rsid w:val="00A36ECC"/>
    <w:rsid w:val="00A374A0"/>
    <w:rsid w:val="00A45021"/>
    <w:rsid w:val="00A46AC8"/>
    <w:rsid w:val="00A47DE2"/>
    <w:rsid w:val="00A52332"/>
    <w:rsid w:val="00A5348C"/>
    <w:rsid w:val="00A57237"/>
    <w:rsid w:val="00A57968"/>
    <w:rsid w:val="00A63195"/>
    <w:rsid w:val="00A6570A"/>
    <w:rsid w:val="00A6792A"/>
    <w:rsid w:val="00A700FF"/>
    <w:rsid w:val="00A72C74"/>
    <w:rsid w:val="00A77A1C"/>
    <w:rsid w:val="00A77B70"/>
    <w:rsid w:val="00A85639"/>
    <w:rsid w:val="00A9060A"/>
    <w:rsid w:val="00A92A74"/>
    <w:rsid w:val="00A93826"/>
    <w:rsid w:val="00A97A6E"/>
    <w:rsid w:val="00AA0FA9"/>
    <w:rsid w:val="00AA354D"/>
    <w:rsid w:val="00AA538F"/>
    <w:rsid w:val="00AB0747"/>
    <w:rsid w:val="00AB5C6E"/>
    <w:rsid w:val="00AB5C88"/>
    <w:rsid w:val="00AB78FC"/>
    <w:rsid w:val="00AC18C9"/>
    <w:rsid w:val="00AC3ACF"/>
    <w:rsid w:val="00AD1128"/>
    <w:rsid w:val="00AD160F"/>
    <w:rsid w:val="00AD16FB"/>
    <w:rsid w:val="00AD6070"/>
    <w:rsid w:val="00AD61FF"/>
    <w:rsid w:val="00AE16A2"/>
    <w:rsid w:val="00AF4DEF"/>
    <w:rsid w:val="00AF4F7C"/>
    <w:rsid w:val="00AF5146"/>
    <w:rsid w:val="00B010EB"/>
    <w:rsid w:val="00B1471B"/>
    <w:rsid w:val="00B15B03"/>
    <w:rsid w:val="00B2250C"/>
    <w:rsid w:val="00B239C5"/>
    <w:rsid w:val="00B24A74"/>
    <w:rsid w:val="00B25A81"/>
    <w:rsid w:val="00B25AB6"/>
    <w:rsid w:val="00B30BD9"/>
    <w:rsid w:val="00B31CC8"/>
    <w:rsid w:val="00B32F3F"/>
    <w:rsid w:val="00B35096"/>
    <w:rsid w:val="00B3771E"/>
    <w:rsid w:val="00B41109"/>
    <w:rsid w:val="00B4207F"/>
    <w:rsid w:val="00B523AD"/>
    <w:rsid w:val="00B52EE1"/>
    <w:rsid w:val="00B56D0F"/>
    <w:rsid w:val="00B63B19"/>
    <w:rsid w:val="00B63B75"/>
    <w:rsid w:val="00B708F0"/>
    <w:rsid w:val="00B7145B"/>
    <w:rsid w:val="00B72AD2"/>
    <w:rsid w:val="00B771AC"/>
    <w:rsid w:val="00B83293"/>
    <w:rsid w:val="00B90E3A"/>
    <w:rsid w:val="00B95146"/>
    <w:rsid w:val="00B95CA9"/>
    <w:rsid w:val="00B96893"/>
    <w:rsid w:val="00BA3891"/>
    <w:rsid w:val="00BA56C4"/>
    <w:rsid w:val="00BA73A7"/>
    <w:rsid w:val="00BB562A"/>
    <w:rsid w:val="00BB58DC"/>
    <w:rsid w:val="00BB6CC9"/>
    <w:rsid w:val="00BB764A"/>
    <w:rsid w:val="00BC6984"/>
    <w:rsid w:val="00BD32A6"/>
    <w:rsid w:val="00BE15B1"/>
    <w:rsid w:val="00BE1E5C"/>
    <w:rsid w:val="00BE65F1"/>
    <w:rsid w:val="00BF147C"/>
    <w:rsid w:val="00BF2CC0"/>
    <w:rsid w:val="00BF3475"/>
    <w:rsid w:val="00C00062"/>
    <w:rsid w:val="00C03814"/>
    <w:rsid w:val="00C03AC3"/>
    <w:rsid w:val="00C071C4"/>
    <w:rsid w:val="00C17D28"/>
    <w:rsid w:val="00C22352"/>
    <w:rsid w:val="00C24057"/>
    <w:rsid w:val="00C24B50"/>
    <w:rsid w:val="00C262E7"/>
    <w:rsid w:val="00C26CCC"/>
    <w:rsid w:val="00C30B6E"/>
    <w:rsid w:val="00C31603"/>
    <w:rsid w:val="00C3208C"/>
    <w:rsid w:val="00C322D9"/>
    <w:rsid w:val="00C333D1"/>
    <w:rsid w:val="00C339C5"/>
    <w:rsid w:val="00C33F2D"/>
    <w:rsid w:val="00C34512"/>
    <w:rsid w:val="00C377B9"/>
    <w:rsid w:val="00C41FDF"/>
    <w:rsid w:val="00C471A6"/>
    <w:rsid w:val="00C530B5"/>
    <w:rsid w:val="00C55EE3"/>
    <w:rsid w:val="00C56D91"/>
    <w:rsid w:val="00C57C1A"/>
    <w:rsid w:val="00C617C9"/>
    <w:rsid w:val="00C7439E"/>
    <w:rsid w:val="00C75932"/>
    <w:rsid w:val="00C820B3"/>
    <w:rsid w:val="00C86A3B"/>
    <w:rsid w:val="00C87E83"/>
    <w:rsid w:val="00C93709"/>
    <w:rsid w:val="00C95EE1"/>
    <w:rsid w:val="00C96940"/>
    <w:rsid w:val="00CA5848"/>
    <w:rsid w:val="00CB1C1C"/>
    <w:rsid w:val="00CB2B35"/>
    <w:rsid w:val="00CB3AF2"/>
    <w:rsid w:val="00CC04AC"/>
    <w:rsid w:val="00CC3C44"/>
    <w:rsid w:val="00CC4AD2"/>
    <w:rsid w:val="00CC70FF"/>
    <w:rsid w:val="00CD347E"/>
    <w:rsid w:val="00CD64B7"/>
    <w:rsid w:val="00CE3761"/>
    <w:rsid w:val="00CE4D23"/>
    <w:rsid w:val="00CE6091"/>
    <w:rsid w:val="00CF085B"/>
    <w:rsid w:val="00CF5769"/>
    <w:rsid w:val="00CF6881"/>
    <w:rsid w:val="00D03250"/>
    <w:rsid w:val="00D05199"/>
    <w:rsid w:val="00D16FC8"/>
    <w:rsid w:val="00D21A96"/>
    <w:rsid w:val="00D22242"/>
    <w:rsid w:val="00D238F5"/>
    <w:rsid w:val="00D255E9"/>
    <w:rsid w:val="00D325DC"/>
    <w:rsid w:val="00D351C0"/>
    <w:rsid w:val="00D35560"/>
    <w:rsid w:val="00D355FD"/>
    <w:rsid w:val="00D36918"/>
    <w:rsid w:val="00D42151"/>
    <w:rsid w:val="00D465C6"/>
    <w:rsid w:val="00D47509"/>
    <w:rsid w:val="00D5655C"/>
    <w:rsid w:val="00D565C5"/>
    <w:rsid w:val="00D62506"/>
    <w:rsid w:val="00D630CB"/>
    <w:rsid w:val="00D65588"/>
    <w:rsid w:val="00D6602C"/>
    <w:rsid w:val="00D67F6D"/>
    <w:rsid w:val="00D704C3"/>
    <w:rsid w:val="00D73CF4"/>
    <w:rsid w:val="00D74B02"/>
    <w:rsid w:val="00D7517C"/>
    <w:rsid w:val="00D77B54"/>
    <w:rsid w:val="00D80F31"/>
    <w:rsid w:val="00D83450"/>
    <w:rsid w:val="00D8497C"/>
    <w:rsid w:val="00D862E3"/>
    <w:rsid w:val="00D86A3E"/>
    <w:rsid w:val="00D91291"/>
    <w:rsid w:val="00D93A89"/>
    <w:rsid w:val="00D977A4"/>
    <w:rsid w:val="00D97EF1"/>
    <w:rsid w:val="00DA29E7"/>
    <w:rsid w:val="00DA498F"/>
    <w:rsid w:val="00DB1117"/>
    <w:rsid w:val="00DB5C07"/>
    <w:rsid w:val="00DB7E52"/>
    <w:rsid w:val="00DC3338"/>
    <w:rsid w:val="00DD7823"/>
    <w:rsid w:val="00DE0FDB"/>
    <w:rsid w:val="00DE2A73"/>
    <w:rsid w:val="00DE414D"/>
    <w:rsid w:val="00DE48A4"/>
    <w:rsid w:val="00DE5003"/>
    <w:rsid w:val="00DE6B33"/>
    <w:rsid w:val="00DF24F0"/>
    <w:rsid w:val="00DF5DE8"/>
    <w:rsid w:val="00DF79C7"/>
    <w:rsid w:val="00E037DC"/>
    <w:rsid w:val="00E045A1"/>
    <w:rsid w:val="00E051D0"/>
    <w:rsid w:val="00E06A68"/>
    <w:rsid w:val="00E11F5A"/>
    <w:rsid w:val="00E14FE9"/>
    <w:rsid w:val="00E16F8A"/>
    <w:rsid w:val="00E178F5"/>
    <w:rsid w:val="00E205EB"/>
    <w:rsid w:val="00E21190"/>
    <w:rsid w:val="00E24E23"/>
    <w:rsid w:val="00E265EB"/>
    <w:rsid w:val="00E30363"/>
    <w:rsid w:val="00E31009"/>
    <w:rsid w:val="00E32BD8"/>
    <w:rsid w:val="00E33C44"/>
    <w:rsid w:val="00E36BC0"/>
    <w:rsid w:val="00E372A1"/>
    <w:rsid w:val="00E405DF"/>
    <w:rsid w:val="00E406C2"/>
    <w:rsid w:val="00E430B1"/>
    <w:rsid w:val="00E43A4D"/>
    <w:rsid w:val="00E44D21"/>
    <w:rsid w:val="00E5336D"/>
    <w:rsid w:val="00E573B1"/>
    <w:rsid w:val="00E646A4"/>
    <w:rsid w:val="00E64E37"/>
    <w:rsid w:val="00E70F84"/>
    <w:rsid w:val="00E71B4D"/>
    <w:rsid w:val="00E72C01"/>
    <w:rsid w:val="00E744B0"/>
    <w:rsid w:val="00E8072C"/>
    <w:rsid w:val="00E83D1A"/>
    <w:rsid w:val="00E848DA"/>
    <w:rsid w:val="00E8664F"/>
    <w:rsid w:val="00E87BBC"/>
    <w:rsid w:val="00EA4F34"/>
    <w:rsid w:val="00EA5C7A"/>
    <w:rsid w:val="00EA69F6"/>
    <w:rsid w:val="00EB6513"/>
    <w:rsid w:val="00EB78CD"/>
    <w:rsid w:val="00EC0250"/>
    <w:rsid w:val="00EC0A61"/>
    <w:rsid w:val="00EC0CD5"/>
    <w:rsid w:val="00EC2D96"/>
    <w:rsid w:val="00EC68EA"/>
    <w:rsid w:val="00EC7D42"/>
    <w:rsid w:val="00ED0DDD"/>
    <w:rsid w:val="00EE4E61"/>
    <w:rsid w:val="00EF3B65"/>
    <w:rsid w:val="00EF4A1C"/>
    <w:rsid w:val="00EF54BB"/>
    <w:rsid w:val="00F05364"/>
    <w:rsid w:val="00F110AF"/>
    <w:rsid w:val="00F1246C"/>
    <w:rsid w:val="00F129F9"/>
    <w:rsid w:val="00F16115"/>
    <w:rsid w:val="00F1653C"/>
    <w:rsid w:val="00F2068B"/>
    <w:rsid w:val="00F2216A"/>
    <w:rsid w:val="00F23D38"/>
    <w:rsid w:val="00F2685E"/>
    <w:rsid w:val="00F34E0D"/>
    <w:rsid w:val="00F37805"/>
    <w:rsid w:val="00F37F01"/>
    <w:rsid w:val="00F403BD"/>
    <w:rsid w:val="00F40536"/>
    <w:rsid w:val="00F412F4"/>
    <w:rsid w:val="00F42F38"/>
    <w:rsid w:val="00F43E39"/>
    <w:rsid w:val="00F50E11"/>
    <w:rsid w:val="00F50FC6"/>
    <w:rsid w:val="00F5333D"/>
    <w:rsid w:val="00F6032C"/>
    <w:rsid w:val="00F60F94"/>
    <w:rsid w:val="00F61780"/>
    <w:rsid w:val="00F625E5"/>
    <w:rsid w:val="00F6572F"/>
    <w:rsid w:val="00F67D45"/>
    <w:rsid w:val="00F70F84"/>
    <w:rsid w:val="00F74955"/>
    <w:rsid w:val="00F74B90"/>
    <w:rsid w:val="00F75319"/>
    <w:rsid w:val="00F75A99"/>
    <w:rsid w:val="00F87F3E"/>
    <w:rsid w:val="00F9224C"/>
    <w:rsid w:val="00F94D61"/>
    <w:rsid w:val="00F96403"/>
    <w:rsid w:val="00FA3C04"/>
    <w:rsid w:val="00FA3D4D"/>
    <w:rsid w:val="00FB1527"/>
    <w:rsid w:val="00FB293A"/>
    <w:rsid w:val="00FB7A97"/>
    <w:rsid w:val="00FC0E05"/>
    <w:rsid w:val="00FC1775"/>
    <w:rsid w:val="00FC25B6"/>
    <w:rsid w:val="00FC27A6"/>
    <w:rsid w:val="00FC384D"/>
    <w:rsid w:val="00FC5AA2"/>
    <w:rsid w:val="00FC5C91"/>
    <w:rsid w:val="00FC6885"/>
    <w:rsid w:val="00FC7906"/>
    <w:rsid w:val="00FD193B"/>
    <w:rsid w:val="00FD3938"/>
    <w:rsid w:val="00FD5FE6"/>
    <w:rsid w:val="00FD6AD9"/>
    <w:rsid w:val="00FE1541"/>
    <w:rsid w:val="00FE1583"/>
    <w:rsid w:val="00FE38CD"/>
    <w:rsid w:val="00FE3C94"/>
    <w:rsid w:val="00FF353F"/>
    <w:rsid w:val="00FF38C8"/>
    <w:rsid w:val="00FF75F7"/>
    <w:rsid w:val="00FF77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8E60"/>
  <w15:chartTrackingRefBased/>
  <w15:docId w15:val="{C7E837ED-75F9-4FC8-BE69-588461AF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298A"/>
    <w:pPr>
      <w:ind w:left="720"/>
      <w:contextualSpacing/>
    </w:pPr>
  </w:style>
  <w:style w:type="table" w:styleId="Grigliatabella">
    <w:name w:val="Table Grid"/>
    <w:basedOn w:val="Tabellanormale"/>
    <w:uiPriority w:val="39"/>
    <w:rsid w:val="002C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e"/>
    <w:rsid w:val="0008485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8476">
      <w:bodyDiv w:val="1"/>
      <w:marLeft w:val="0"/>
      <w:marRight w:val="0"/>
      <w:marTop w:val="0"/>
      <w:marBottom w:val="0"/>
      <w:divBdr>
        <w:top w:val="none" w:sz="0" w:space="0" w:color="auto"/>
        <w:left w:val="none" w:sz="0" w:space="0" w:color="auto"/>
        <w:bottom w:val="none" w:sz="0" w:space="0" w:color="auto"/>
        <w:right w:val="none" w:sz="0" w:space="0" w:color="auto"/>
      </w:divBdr>
    </w:div>
    <w:div w:id="497312420">
      <w:bodyDiv w:val="1"/>
      <w:marLeft w:val="0"/>
      <w:marRight w:val="0"/>
      <w:marTop w:val="0"/>
      <w:marBottom w:val="0"/>
      <w:divBdr>
        <w:top w:val="none" w:sz="0" w:space="0" w:color="auto"/>
        <w:left w:val="none" w:sz="0" w:space="0" w:color="auto"/>
        <w:bottom w:val="none" w:sz="0" w:space="0" w:color="auto"/>
        <w:right w:val="none" w:sz="0" w:space="0" w:color="auto"/>
      </w:divBdr>
    </w:div>
    <w:div w:id="16475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1454</Words>
  <Characters>8288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Furini</dc:creator>
  <cp:keywords/>
  <dc:description/>
  <cp:lastModifiedBy>Manuela Furini</cp:lastModifiedBy>
  <cp:revision>3</cp:revision>
  <cp:lastPrinted>2024-12-10T09:09:00Z</cp:lastPrinted>
  <dcterms:created xsi:type="dcterms:W3CDTF">2024-12-18T10:01:00Z</dcterms:created>
  <dcterms:modified xsi:type="dcterms:W3CDTF">2024-12-18T10:05:00Z</dcterms:modified>
</cp:coreProperties>
</file>