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876AA7" w14:textId="06827B31" w:rsidR="005B3AA5" w:rsidRDefault="005B3AA5" w:rsidP="005B3AA5">
      <w:pPr>
        <w:pStyle w:val="Titolo1"/>
        <w:jc w:val="center"/>
        <w:rPr>
          <w:color w:val="0B769F" w:themeColor="accent4" w:themeShade="BF"/>
        </w:rPr>
      </w:pPr>
      <w:r>
        <w:rPr>
          <w:noProof/>
          <w:color w:val="0B769F" w:themeColor="accent4" w:themeShade="BF"/>
        </w:rPr>
        <w:drawing>
          <wp:inline distT="0" distB="0" distL="0" distR="0" wp14:anchorId="56BCADFD" wp14:editId="08B3255C">
            <wp:extent cx="2882901" cy="1081088"/>
            <wp:effectExtent l="0" t="0" r="0" b="5080"/>
            <wp:docPr id="1446174832" name="Immagine 1" descr="Immagine che contiene nero, oscurità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6174832" name="Immagine 1" descr="Immagine che contiene nero, oscurità&#10;&#10;Descrizione generata automaticament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92192" cy="108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00547D" w14:textId="04B9234B" w:rsidR="005B3AA5" w:rsidRPr="005B3AA5" w:rsidRDefault="005B3AA5" w:rsidP="005B3AA5">
      <w:pPr>
        <w:rPr>
          <w:sz w:val="36"/>
          <w:szCs w:val="36"/>
          <w:u w:val="single"/>
        </w:rPr>
      </w:pPr>
      <w:r w:rsidRPr="005B3AA5">
        <w:rPr>
          <w:sz w:val="36"/>
          <w:szCs w:val="36"/>
          <w:u w:val="single"/>
        </w:rPr>
        <w:t>BOZZA</w:t>
      </w:r>
    </w:p>
    <w:p w14:paraId="5A3B2C84" w14:textId="7D38FBF4" w:rsidR="006A1D72" w:rsidRDefault="00915D41" w:rsidP="005B3AA5">
      <w:pPr>
        <w:pStyle w:val="Titolo1"/>
        <w:jc w:val="center"/>
      </w:pPr>
      <w:r>
        <w:rPr>
          <w:color w:val="0B769F" w:themeColor="accent4" w:themeShade="BF"/>
        </w:rPr>
        <w:t xml:space="preserve">Nota Aree </w:t>
      </w:r>
      <w:r w:rsidR="000C3523">
        <w:rPr>
          <w:color w:val="0B769F" w:themeColor="accent4" w:themeShade="BF"/>
        </w:rPr>
        <w:t xml:space="preserve">Idonee </w:t>
      </w:r>
      <w:r>
        <w:rPr>
          <w:color w:val="0B769F" w:themeColor="accent4" w:themeShade="BF"/>
        </w:rPr>
        <w:t>per sviluppo FER</w:t>
      </w:r>
    </w:p>
    <w:p w14:paraId="3A34233F" w14:textId="77777777" w:rsidR="005B3AA5" w:rsidRDefault="005B3AA5" w:rsidP="00B275C6">
      <w:pPr>
        <w:pStyle w:val="Titolo2"/>
        <w:rPr>
          <w:color w:val="0B769F" w:themeColor="accent4" w:themeShade="BF"/>
        </w:rPr>
      </w:pPr>
    </w:p>
    <w:p w14:paraId="3315E00E" w14:textId="5C9E2667" w:rsidR="00B275C6" w:rsidRPr="004B5331" w:rsidRDefault="00B275C6" w:rsidP="00B275C6">
      <w:pPr>
        <w:pStyle w:val="Titolo2"/>
        <w:rPr>
          <w:color w:val="0B769F" w:themeColor="accent4" w:themeShade="BF"/>
        </w:rPr>
      </w:pPr>
      <w:r>
        <w:rPr>
          <w:color w:val="0B769F" w:themeColor="accent4" w:themeShade="BF"/>
        </w:rPr>
        <w:t>Tematiche trasversali</w:t>
      </w:r>
    </w:p>
    <w:p w14:paraId="69415133" w14:textId="77777777" w:rsidR="00B275C6" w:rsidRDefault="00B275C6" w:rsidP="00B275C6"/>
    <w:p w14:paraId="09D502BF" w14:textId="77777777" w:rsidR="00B275C6" w:rsidRPr="00C6154B" w:rsidRDefault="00B275C6" w:rsidP="00B275C6">
      <w:pPr>
        <w:pStyle w:val="Titolo3"/>
        <w:numPr>
          <w:ilvl w:val="0"/>
          <w:numId w:val="10"/>
        </w:numPr>
        <w:rPr>
          <w:color w:val="0B769F" w:themeColor="accent4" w:themeShade="BF"/>
        </w:rPr>
      </w:pPr>
      <w:r w:rsidRPr="00C6154B">
        <w:rPr>
          <w:color w:val="0B769F" w:themeColor="accent4" w:themeShade="BF"/>
        </w:rPr>
        <w:t>Disciplina transitoria</w:t>
      </w:r>
    </w:p>
    <w:p w14:paraId="4BD71E78" w14:textId="77777777" w:rsidR="00B275C6" w:rsidRDefault="00B275C6" w:rsidP="00B275C6">
      <w:pPr>
        <w:jc w:val="both"/>
      </w:pPr>
      <w:r>
        <w:t xml:space="preserve">Si ritiene opportuna l’individuazione di una </w:t>
      </w:r>
      <w:r w:rsidRPr="00C6154B">
        <w:rPr>
          <w:b/>
          <w:bCs/>
          <w:color w:val="0B769F" w:themeColor="accent4" w:themeShade="BF"/>
        </w:rPr>
        <w:t xml:space="preserve">disciplina transitoria che faccia salvi gli iter avviati </w:t>
      </w:r>
      <w:r>
        <w:t>prima dell’entrata in vigore della Legge Regionale “Aree Idonee”, che preveda, se possibile, i</w:t>
      </w:r>
      <w:r w:rsidRPr="00EA4004">
        <w:t xml:space="preserve">n considerazione dei tempi lunghi richiesti per lo sviluppo di un impianto, </w:t>
      </w:r>
      <w:r>
        <w:t>che siano</w:t>
      </w:r>
      <w:r w:rsidRPr="00EA4004">
        <w:t xml:space="preserve"> fatti salvi </w:t>
      </w:r>
      <w:r>
        <w:t xml:space="preserve">anche </w:t>
      </w:r>
      <w:r w:rsidRPr="00EA4004">
        <w:t>i progetti per i quali sia stata rilasciata ed accettata la STMG</w:t>
      </w:r>
      <w:r>
        <w:t xml:space="preserve"> (soluzione tecnica minima generale).</w:t>
      </w:r>
    </w:p>
    <w:p w14:paraId="16B8CD91" w14:textId="77777777" w:rsidR="00B275C6" w:rsidRDefault="00B275C6" w:rsidP="00B275C6">
      <w:pPr>
        <w:jc w:val="both"/>
      </w:pPr>
    </w:p>
    <w:p w14:paraId="4AB303B3" w14:textId="77777777" w:rsidR="00B275C6" w:rsidRPr="004B5331" w:rsidRDefault="00B275C6" w:rsidP="00B275C6">
      <w:pPr>
        <w:pStyle w:val="Titolo3"/>
        <w:numPr>
          <w:ilvl w:val="0"/>
          <w:numId w:val="10"/>
        </w:numPr>
        <w:rPr>
          <w:color w:val="0B769F" w:themeColor="accent4" w:themeShade="BF"/>
        </w:rPr>
      </w:pPr>
      <w:r>
        <w:rPr>
          <w:color w:val="0B769F" w:themeColor="accent4" w:themeShade="BF"/>
        </w:rPr>
        <w:t>C</w:t>
      </w:r>
      <w:r w:rsidRPr="00D10F86">
        <w:rPr>
          <w:color w:val="0B769F" w:themeColor="accent4" w:themeShade="BF"/>
        </w:rPr>
        <w:t>ostituzione</w:t>
      </w:r>
      <w:r w:rsidRPr="004B5331">
        <w:rPr>
          <w:color w:val="0B769F" w:themeColor="accent4" w:themeShade="BF"/>
        </w:rPr>
        <w:t xml:space="preserve"> di diritti definitivi</w:t>
      </w:r>
    </w:p>
    <w:p w14:paraId="427800DD" w14:textId="616EB1BF" w:rsidR="00DE07B9" w:rsidRDefault="00B275C6" w:rsidP="00B275C6">
      <w:pPr>
        <w:jc w:val="both"/>
      </w:pPr>
      <w:r>
        <w:t xml:space="preserve">La DAL 125, al punto 1/d, </w:t>
      </w:r>
      <w:r w:rsidR="00DE07B9">
        <w:t xml:space="preserve">riporta </w:t>
      </w:r>
      <w:r>
        <w:t xml:space="preserve">quali siano i titoli che consentono ad un soggetto di vantare la disponibilità di un’area ai fini dello sviluppo fotovoltaico. </w:t>
      </w:r>
      <w:r w:rsidR="00DE07B9">
        <w:t xml:space="preserve">Successivamente, il </w:t>
      </w:r>
      <w:r w:rsidR="00DE07B9" w:rsidRPr="004B5331">
        <w:t>Parere prot. 1006287 del 16 settembre 2024</w:t>
      </w:r>
      <w:r w:rsidR="00DE07B9">
        <w:t xml:space="preserve"> ha specificato che all’atto di presentazione delle istanze non è necessario che siano costituiti diritti (acquisto, diritto di superficie, affitto…) definitivi, ma che sono ammessi anche contratti preliminari. Tuttavia, si segnala che il medesimo Parere prevede che la stipula de</w:t>
      </w:r>
      <w:r w:rsidR="005555A6">
        <w:t xml:space="preserve">i titoli </w:t>
      </w:r>
      <w:r w:rsidR="00DE07B9">
        <w:t>definitiv</w:t>
      </w:r>
      <w:r w:rsidR="005555A6">
        <w:t>i</w:t>
      </w:r>
      <w:r w:rsidR="00DE07B9">
        <w:t xml:space="preserve"> debba avvenire prima dell’ottenimento dell’autorizzazione. </w:t>
      </w:r>
    </w:p>
    <w:p w14:paraId="1090354C" w14:textId="665CF548" w:rsidR="00DE07B9" w:rsidRDefault="00B275C6" w:rsidP="00B275C6">
      <w:pPr>
        <w:jc w:val="both"/>
      </w:pPr>
      <w:r>
        <w:t>Risulta evidente che il soggetto che sviluppa un’iniziativa non p</w:t>
      </w:r>
      <w:r w:rsidR="005555A6">
        <w:t>ossa</w:t>
      </w:r>
      <w:r>
        <w:t xml:space="preserve"> sostenere i costi di acquisto di un terreno, o avviare il versamento di un canone di diritto di superficie, pagandone tra l’altro le imposte di registro all’erario, senza che </w:t>
      </w:r>
      <w:r w:rsidDel="00E61534">
        <w:t>sia certo di poter realizzare l’iniziativa imprenditoriale</w:t>
      </w:r>
      <w:r>
        <w:t xml:space="preserve">. </w:t>
      </w:r>
    </w:p>
    <w:p w14:paraId="50A1C391" w14:textId="04F86599" w:rsidR="00B275C6" w:rsidRPr="00AF4307" w:rsidRDefault="00DE07B9" w:rsidP="00DE07B9">
      <w:pPr>
        <w:jc w:val="both"/>
      </w:pPr>
      <w:r>
        <w:t xml:space="preserve">A tal fine, la Legge Regionale “Aree Idonee” </w:t>
      </w:r>
      <w:r w:rsidR="00B275C6">
        <w:t xml:space="preserve">potrebbe </w:t>
      </w:r>
      <w:r w:rsidR="005555A6">
        <w:t xml:space="preserve">includere </w:t>
      </w:r>
      <w:r w:rsidR="00B275C6">
        <w:t xml:space="preserve">una </w:t>
      </w:r>
      <w:r w:rsidR="00B275C6" w:rsidRPr="005555A6">
        <w:t>formulazione per cui</w:t>
      </w:r>
      <w:r w:rsidR="00B275C6" w:rsidRPr="005555A6">
        <w:rPr>
          <w:b/>
          <w:bCs/>
        </w:rPr>
        <w:t xml:space="preserve"> </w:t>
      </w:r>
      <w:r w:rsidR="00B275C6" w:rsidRPr="005555A6">
        <w:rPr>
          <w:b/>
          <w:bCs/>
          <w:color w:val="0B769F" w:themeColor="accent4" w:themeShade="BF"/>
        </w:rPr>
        <w:t xml:space="preserve">l’autorizzazione </w:t>
      </w:r>
      <w:r w:rsidRPr="005555A6">
        <w:rPr>
          <w:b/>
          <w:bCs/>
          <w:color w:val="0B769F" w:themeColor="accent4" w:themeShade="BF"/>
        </w:rPr>
        <w:t xml:space="preserve">possa </w:t>
      </w:r>
      <w:r w:rsidR="00B275C6" w:rsidRPr="005555A6">
        <w:rPr>
          <w:b/>
          <w:bCs/>
          <w:color w:val="0B769F" w:themeColor="accent4" w:themeShade="BF"/>
        </w:rPr>
        <w:t>essere rilasciata anche sulla base dei soli contratti preliminari</w:t>
      </w:r>
      <w:r w:rsidR="00B275C6" w:rsidRPr="005555A6">
        <w:t>,</w:t>
      </w:r>
      <w:r w:rsidR="00B275C6">
        <w:t xml:space="preserve"> fatta salva la possibilità di prevedere eventuali clausole che rendano l’autorizzazione inefficace </w:t>
      </w:r>
      <w:r w:rsidR="00B275C6">
        <w:lastRenderedPageBreak/>
        <w:t>qualora non si provveda alla stipula dei contratti definitivi entro un termine congruo a far data dal rilascio dell’autorizzazione (12-18 mesi).</w:t>
      </w:r>
    </w:p>
    <w:p w14:paraId="0152D6A2" w14:textId="77777777" w:rsidR="00B275C6" w:rsidRDefault="00B275C6"/>
    <w:p w14:paraId="05BF4E78" w14:textId="360E5A96" w:rsidR="006A0795" w:rsidRPr="00C6154B" w:rsidRDefault="006A0795" w:rsidP="00905CAF">
      <w:pPr>
        <w:pStyle w:val="Titolo2"/>
        <w:rPr>
          <w:color w:val="0B769F" w:themeColor="accent4" w:themeShade="BF"/>
        </w:rPr>
      </w:pPr>
      <w:r w:rsidRPr="00C6154B">
        <w:rPr>
          <w:color w:val="0B769F" w:themeColor="accent4" w:themeShade="BF"/>
        </w:rPr>
        <w:t>Aree Agricole</w:t>
      </w:r>
    </w:p>
    <w:p w14:paraId="742BA46B" w14:textId="50FCEF8C" w:rsidR="006A1D72" w:rsidRDefault="00AC6ACF" w:rsidP="00C6154B">
      <w:pPr>
        <w:jc w:val="both"/>
      </w:pPr>
      <w:r>
        <w:t>A fronte di una normativa nazionale che</w:t>
      </w:r>
      <w:r w:rsidR="000C3523">
        <w:rPr>
          <w:color w:val="FF0000"/>
        </w:rPr>
        <w:t xml:space="preserve"> </w:t>
      </w:r>
      <w:r w:rsidR="006A1D72">
        <w:t>ha introdotto ulteriori e significative limitazioni alla possibilità di realizzare impianti fotovoltaici su aree agricole, si ritiene necessario che nel processo legislativo di individuazione delle aree idonee vengano accolte le seguenti richieste</w:t>
      </w:r>
      <w:r w:rsidR="00BA3F59">
        <w:t>, anche con riferimento alla</w:t>
      </w:r>
      <w:r w:rsidR="006A1D72">
        <w:t xml:space="preserve"> modifica/precisazione dell’attuale normativa regionale vigente in materia (DAL 125/2023 e DGR 693/2024).</w:t>
      </w:r>
    </w:p>
    <w:p w14:paraId="57B71906" w14:textId="77777777" w:rsidR="00D73613" w:rsidRDefault="00D73613" w:rsidP="00C6154B">
      <w:pPr>
        <w:jc w:val="both"/>
      </w:pPr>
    </w:p>
    <w:p w14:paraId="1F3DF86C" w14:textId="144FB44F" w:rsidR="00D73613" w:rsidRPr="00C6154B" w:rsidRDefault="002D19CC" w:rsidP="00D73613">
      <w:pPr>
        <w:pStyle w:val="Titolo3"/>
        <w:numPr>
          <w:ilvl w:val="0"/>
          <w:numId w:val="4"/>
        </w:numPr>
        <w:rPr>
          <w:color w:val="0B769F" w:themeColor="accent4" w:themeShade="BF"/>
        </w:rPr>
      </w:pPr>
      <w:r>
        <w:rPr>
          <w:color w:val="0B769F" w:themeColor="accent4" w:themeShade="BF"/>
        </w:rPr>
        <w:t>A</w:t>
      </w:r>
      <w:r w:rsidR="00D73613">
        <w:rPr>
          <w:color w:val="0B769F" w:themeColor="accent4" w:themeShade="BF"/>
        </w:rPr>
        <w:t>ree agricole non coltivabili</w:t>
      </w:r>
      <w:r w:rsidR="00D73613" w:rsidRPr="00C6154B">
        <w:rPr>
          <w:color w:val="0B769F" w:themeColor="accent4" w:themeShade="BF"/>
        </w:rPr>
        <w:t xml:space="preserve"> </w:t>
      </w:r>
    </w:p>
    <w:p w14:paraId="440303DD" w14:textId="0876D9BC" w:rsidR="00AF4307" w:rsidRDefault="00D73613" w:rsidP="001D0C03">
      <w:pPr>
        <w:pStyle w:val="Paragrafoelenco"/>
        <w:numPr>
          <w:ilvl w:val="0"/>
          <w:numId w:val="7"/>
        </w:numPr>
        <w:ind w:left="142" w:firstLine="0"/>
        <w:jc w:val="both"/>
      </w:pPr>
      <w:r>
        <w:t xml:space="preserve">Si richiede di </w:t>
      </w:r>
      <w:r w:rsidR="002D19CC">
        <w:t>qualificare tra le Aree Idonee le aree di cui alla lettera b), comma 8, art. 20 del D.lgs</w:t>
      </w:r>
      <w:r w:rsidR="00AF4307">
        <w:t xml:space="preserve">. 199/2021, ovvero i Siti </w:t>
      </w:r>
      <w:r w:rsidR="00AF4307" w:rsidRPr="00934549">
        <w:t xml:space="preserve">oggetto di bonifica (ai sensi del Titolo V parte IV del </w:t>
      </w:r>
      <w:proofErr w:type="spellStart"/>
      <w:r w:rsidR="00AF4307" w:rsidRPr="00934549">
        <w:t>D.Lgs.</w:t>
      </w:r>
      <w:proofErr w:type="spellEnd"/>
      <w:r w:rsidR="00AF4307" w:rsidRPr="00934549">
        <w:t xml:space="preserve"> 152/2006)</w:t>
      </w:r>
      <w:r w:rsidR="00AF4307">
        <w:t>;</w:t>
      </w:r>
    </w:p>
    <w:p w14:paraId="27700055" w14:textId="78AAB81C" w:rsidR="00D73613" w:rsidRDefault="00AF4307" w:rsidP="00A62A5E">
      <w:pPr>
        <w:pStyle w:val="Paragrafoelenco"/>
        <w:numPr>
          <w:ilvl w:val="0"/>
          <w:numId w:val="7"/>
        </w:numPr>
        <w:ind w:left="142" w:firstLine="0"/>
        <w:jc w:val="both"/>
      </w:pPr>
      <w:r>
        <w:t xml:space="preserve">Si richiedere di </w:t>
      </w:r>
      <w:r w:rsidR="00D73613">
        <w:t xml:space="preserve">prevedere esplicitamente delle </w:t>
      </w:r>
      <w:r w:rsidR="00D73613" w:rsidRPr="00D73613">
        <w:rPr>
          <w:b/>
          <w:bCs/>
          <w:color w:val="0B769F" w:themeColor="accent4" w:themeShade="BF"/>
        </w:rPr>
        <w:t>deroghe per le aree agricole non coltivabili</w:t>
      </w:r>
    </w:p>
    <w:p w14:paraId="2F965099" w14:textId="7BE6B2E6" w:rsidR="00C82F46" w:rsidRPr="004B5331" w:rsidRDefault="001872E1" w:rsidP="00915D41">
      <w:pPr>
        <w:pStyle w:val="Paragrafoelenco"/>
        <w:numPr>
          <w:ilvl w:val="0"/>
          <w:numId w:val="7"/>
        </w:numPr>
        <w:ind w:left="142" w:firstLine="0"/>
        <w:jc w:val="both"/>
        <w:rPr>
          <w:color w:val="0B769F" w:themeColor="accent4" w:themeShade="BF"/>
        </w:rPr>
      </w:pPr>
      <w:r>
        <w:t xml:space="preserve">Si evidenzia inoltre l’importanza di </w:t>
      </w:r>
      <w:r w:rsidRPr="005555A6">
        <w:rPr>
          <w:b/>
          <w:bCs/>
          <w:color w:val="0B769F" w:themeColor="accent4" w:themeShade="BF"/>
        </w:rPr>
        <w:t>chiarire esplicitamente ai Comuni</w:t>
      </w:r>
      <w:r>
        <w:t>, che spesso per mancanza di chiarezza interpretano</w:t>
      </w:r>
      <w:r w:rsidR="00D10F86">
        <w:t xml:space="preserve"> i vari disposti normativi</w:t>
      </w:r>
      <w:r>
        <w:t xml:space="preserve"> in maniera penalizzante per le aziende, </w:t>
      </w:r>
      <w:r w:rsidR="001D0C03" w:rsidRPr="001D0C03">
        <w:rPr>
          <w:color w:val="0B769F" w:themeColor="accent4" w:themeShade="BF"/>
        </w:rPr>
        <w:t xml:space="preserve">che il </w:t>
      </w:r>
      <w:r w:rsidR="001D0C03" w:rsidRPr="00C308CF">
        <w:rPr>
          <w:b/>
          <w:bCs/>
          <w:color w:val="0B769F" w:themeColor="accent4" w:themeShade="BF"/>
        </w:rPr>
        <w:t xml:space="preserve">DL </w:t>
      </w:r>
      <w:r w:rsidR="00915D41">
        <w:rPr>
          <w:b/>
          <w:bCs/>
          <w:color w:val="0B769F" w:themeColor="accent4" w:themeShade="BF"/>
        </w:rPr>
        <w:t>63/2024 cd. DL “</w:t>
      </w:r>
      <w:r w:rsidR="001D0C03" w:rsidRPr="00C308CF">
        <w:rPr>
          <w:b/>
          <w:bCs/>
          <w:color w:val="0B769F" w:themeColor="accent4" w:themeShade="BF"/>
        </w:rPr>
        <w:t>Agricoltura</w:t>
      </w:r>
      <w:r w:rsidR="00915D41">
        <w:rPr>
          <w:b/>
          <w:bCs/>
          <w:color w:val="0B769F" w:themeColor="accent4" w:themeShade="BF"/>
        </w:rPr>
        <w:t>”</w:t>
      </w:r>
      <w:r w:rsidR="001D0C03" w:rsidRPr="001D0C03">
        <w:rPr>
          <w:color w:val="0B769F" w:themeColor="accent4" w:themeShade="BF"/>
        </w:rPr>
        <w:t xml:space="preserve"> riguarda "impianti a terra", quindi </w:t>
      </w:r>
      <w:r w:rsidR="001D0C03" w:rsidRPr="00C308CF">
        <w:rPr>
          <w:b/>
          <w:bCs/>
          <w:color w:val="0B769F" w:themeColor="accent4" w:themeShade="BF"/>
        </w:rPr>
        <w:t>non interessa impianti agrivoltaici</w:t>
      </w:r>
      <w:r w:rsidR="005E7BD7">
        <w:rPr>
          <w:b/>
          <w:bCs/>
          <w:color w:val="0B769F" w:themeColor="accent4" w:themeShade="BF"/>
        </w:rPr>
        <w:t>.</w:t>
      </w:r>
    </w:p>
    <w:p w14:paraId="6F10DC0C" w14:textId="77777777" w:rsidR="004B5331" w:rsidRPr="004B5331" w:rsidRDefault="004B5331" w:rsidP="004B5331">
      <w:pPr>
        <w:pStyle w:val="Paragrafoelenco"/>
        <w:ind w:left="142"/>
        <w:jc w:val="both"/>
        <w:rPr>
          <w:color w:val="0B769F" w:themeColor="accent4" w:themeShade="BF"/>
        </w:rPr>
      </w:pPr>
    </w:p>
    <w:p w14:paraId="5B020604" w14:textId="584F4DB4" w:rsidR="00471138" w:rsidRPr="00C6154B" w:rsidRDefault="00471138" w:rsidP="00D73613">
      <w:pPr>
        <w:pStyle w:val="Titolo3"/>
        <w:numPr>
          <w:ilvl w:val="0"/>
          <w:numId w:val="4"/>
        </w:numPr>
        <w:ind w:left="142" w:firstLine="284"/>
        <w:rPr>
          <w:color w:val="0B769F" w:themeColor="accent4" w:themeShade="BF"/>
        </w:rPr>
      </w:pPr>
      <w:r w:rsidRPr="00C6154B">
        <w:rPr>
          <w:color w:val="0B769F" w:themeColor="accent4" w:themeShade="BF"/>
        </w:rPr>
        <w:t>Asserviment</w:t>
      </w:r>
      <w:r w:rsidR="009F7FA0">
        <w:rPr>
          <w:color w:val="0B769F" w:themeColor="accent4" w:themeShade="BF"/>
        </w:rPr>
        <w:t>i</w:t>
      </w:r>
      <w:r w:rsidRPr="00C6154B">
        <w:rPr>
          <w:color w:val="0B769F" w:themeColor="accent4" w:themeShade="BF"/>
        </w:rPr>
        <w:t xml:space="preserve"> </w:t>
      </w:r>
    </w:p>
    <w:p w14:paraId="3E34F97B" w14:textId="36AEDDB4" w:rsidR="00A2436D" w:rsidRDefault="001131DD" w:rsidP="00196184">
      <w:pPr>
        <w:pStyle w:val="Paragrafoelenco"/>
        <w:numPr>
          <w:ilvl w:val="0"/>
          <w:numId w:val="3"/>
        </w:numPr>
        <w:jc w:val="both"/>
      </w:pPr>
      <w:r>
        <w:t xml:space="preserve">Con riferimento agli </w:t>
      </w:r>
      <w:r w:rsidRPr="00A2436D">
        <w:rPr>
          <w:b/>
          <w:bCs/>
          <w:color w:val="0B769F" w:themeColor="accent4" w:themeShade="BF"/>
        </w:rPr>
        <w:t>impianti agrivoltaici avanzati</w:t>
      </w:r>
      <w:r>
        <w:t xml:space="preserve">, si </w:t>
      </w:r>
      <w:r w:rsidR="00217021">
        <w:t>propone di</w:t>
      </w:r>
      <w:r w:rsidR="007F446E">
        <w:t xml:space="preserve"> e</w:t>
      </w:r>
      <w:r w:rsidR="00217021">
        <w:t>liminare il vincolo dell’asservimento del 10%</w:t>
      </w:r>
      <w:r w:rsidR="0073454A">
        <w:t xml:space="preserve"> calcolato, come proiezione dei pannelli a terra.</w:t>
      </w:r>
      <w:r w:rsidR="00217021">
        <w:t xml:space="preserve"> </w:t>
      </w:r>
      <w:r w:rsidR="0073454A">
        <w:t>G</w:t>
      </w:r>
      <w:r w:rsidR="00217021">
        <w:t>li impianti agrivoltaici, per definizione, permettono di conciliare la produzione agricola con quella energetica</w:t>
      </w:r>
      <w:r w:rsidR="0073454A">
        <w:t xml:space="preserve"> coltivando anche le superfici sottese ai pannelli, come approfondito nel focus più avanti</w:t>
      </w:r>
      <w:r w:rsidR="00217021">
        <w:t xml:space="preserve">. </w:t>
      </w:r>
      <w:r w:rsidR="0073454A">
        <w:t>S</w:t>
      </w:r>
      <w:r w:rsidR="00217021">
        <w:t>ia nel caso di impianti agrivoltaici avanzati, sia nel caso di impianti verticali, l’area di impianto prevede già la destinazione di una parte preponderante del terreno alla coltivazione agricola</w:t>
      </w:r>
      <w:r w:rsidR="0073454A">
        <w:t xml:space="preserve"> e,</w:t>
      </w:r>
      <w:r w:rsidR="00217021">
        <w:t xml:space="preserve"> </w:t>
      </w:r>
      <w:r w:rsidR="0073454A">
        <w:t>n</w:t>
      </w:r>
      <w:r w:rsidR="00217021">
        <w:t>ello specifico, le Linee Guida Nazionali dispongono che la proiezione a terra dei pannelli non possa occupare più del 40% della superficie disponibile</w:t>
      </w:r>
      <w:r w:rsidR="00A2436D">
        <w:t>.</w:t>
      </w:r>
      <w:r w:rsidR="009F7FA0">
        <w:t xml:space="preserve"> Ad ulteriore evidenza di tale affermazione si rimanda al caso specifico illustrato nel seguito.</w:t>
      </w:r>
    </w:p>
    <w:p w14:paraId="5B6651DE" w14:textId="127EA082" w:rsidR="00D73613" w:rsidRDefault="00A2436D" w:rsidP="00196184">
      <w:pPr>
        <w:pStyle w:val="Paragrafoelenco"/>
        <w:numPr>
          <w:ilvl w:val="0"/>
          <w:numId w:val="3"/>
        </w:numPr>
        <w:jc w:val="both"/>
      </w:pPr>
      <w:r>
        <w:t xml:space="preserve">Per quanto riguarda gli </w:t>
      </w:r>
      <w:r w:rsidRPr="00196184">
        <w:rPr>
          <w:b/>
          <w:bCs/>
          <w:color w:val="0B769F" w:themeColor="accent4" w:themeShade="BF"/>
        </w:rPr>
        <w:t>impianti FV al suolo su aree agricole consentiti dalla normativa statale</w:t>
      </w:r>
      <w:r>
        <w:t xml:space="preserve">, ove la Regione intendesse mantenere il vincolo di asservimento, </w:t>
      </w:r>
      <w:r w:rsidR="00D73613">
        <w:t>sarebbe auspicabile un’</w:t>
      </w:r>
      <w:r w:rsidR="00D73613" w:rsidRPr="00D73613">
        <w:rPr>
          <w:b/>
          <w:bCs/>
          <w:color w:val="0B769F" w:themeColor="accent4" w:themeShade="BF"/>
        </w:rPr>
        <w:t>interpretazione</w:t>
      </w:r>
      <w:r w:rsidR="00D73613">
        <w:t xml:space="preserve"> </w:t>
      </w:r>
      <w:r w:rsidR="00D73613" w:rsidRPr="00D73613">
        <w:rPr>
          <w:b/>
          <w:bCs/>
          <w:color w:val="0B769F" w:themeColor="accent4" w:themeShade="BF"/>
        </w:rPr>
        <w:t>“di prossimità”</w:t>
      </w:r>
      <w:r w:rsidR="00D73613">
        <w:t xml:space="preserve">, </w:t>
      </w:r>
      <w:r>
        <w:t xml:space="preserve">che consenta quindi di soddisfare il vincolo </w:t>
      </w:r>
      <w:r w:rsidR="00D73613">
        <w:t>anche attraverso terreni non direttamente confinanti tra loro.</w:t>
      </w:r>
    </w:p>
    <w:p w14:paraId="359E2210" w14:textId="77777777" w:rsidR="00A2436D" w:rsidRDefault="00A2436D" w:rsidP="00196184">
      <w:pPr>
        <w:pStyle w:val="Paragrafoelenco"/>
        <w:ind w:left="0"/>
        <w:jc w:val="both"/>
      </w:pPr>
    </w:p>
    <w:p w14:paraId="151C3955" w14:textId="703F1859" w:rsidR="0073454A" w:rsidRPr="00196184" w:rsidRDefault="0073454A" w:rsidP="00196184">
      <w:pPr>
        <w:pStyle w:val="Titolo3"/>
        <w:rPr>
          <w:color w:val="0B769F" w:themeColor="accent4" w:themeShade="BF"/>
        </w:rPr>
      </w:pPr>
      <w:r w:rsidRPr="00196184">
        <w:rPr>
          <w:i/>
          <w:iCs/>
          <w:color w:val="0B769F" w:themeColor="accent4" w:themeShade="BF"/>
        </w:rPr>
        <w:lastRenderedPageBreak/>
        <w:t>Focus cas</w:t>
      </w:r>
      <w:r w:rsidR="009F7FA0">
        <w:rPr>
          <w:i/>
          <w:iCs/>
          <w:color w:val="0B769F" w:themeColor="accent4" w:themeShade="BF"/>
        </w:rPr>
        <w:t>i</w:t>
      </w:r>
      <w:r w:rsidRPr="00196184">
        <w:rPr>
          <w:i/>
          <w:iCs/>
          <w:color w:val="0B769F" w:themeColor="accent4" w:themeShade="BF"/>
        </w:rPr>
        <w:t xml:space="preserve"> real</w:t>
      </w:r>
      <w:r w:rsidR="009F7FA0">
        <w:rPr>
          <w:i/>
          <w:iCs/>
          <w:color w:val="0B769F" w:themeColor="accent4" w:themeShade="BF"/>
        </w:rPr>
        <w:t>i impianti agrivoltaici avanzati</w:t>
      </w:r>
      <w:r w:rsidRPr="00196184">
        <w:rPr>
          <w:i/>
          <w:iCs/>
          <w:color w:val="0B769F" w:themeColor="accent4" w:themeShade="BF"/>
        </w:rPr>
        <w:t xml:space="preserve"> - Superficie coltivabile</w:t>
      </w:r>
    </w:p>
    <w:p w14:paraId="05099BD8" w14:textId="52B35378" w:rsidR="00417B1A" w:rsidRDefault="009F7FA0" w:rsidP="00196184">
      <w:pPr>
        <w:jc w:val="both"/>
      </w:pPr>
      <w:r>
        <w:t>Come noto,</w:t>
      </w:r>
      <w:r w:rsidR="001131DD">
        <w:t xml:space="preserve"> attraverso l’adozione di impianti agrivoltaici di tipo avanzato,</w:t>
      </w:r>
      <w:r>
        <w:t xml:space="preserve"> si tutela</w:t>
      </w:r>
      <w:r w:rsidR="001131DD">
        <w:t xml:space="preserve"> l</w:t>
      </w:r>
      <w:r w:rsidR="00417B1A">
        <w:t>a continuità dell’attività agricola, che può essere esercitata</w:t>
      </w:r>
      <w:r w:rsidR="000A1211">
        <w:t xml:space="preserve"> sia tra le file dei pannelli</w:t>
      </w:r>
      <w:r w:rsidR="00417B1A">
        <w:t xml:space="preserve"> sia</w:t>
      </w:r>
      <w:r w:rsidR="000A1211">
        <w:t xml:space="preserve"> al di sotto dei moduli stessi.</w:t>
      </w:r>
      <w:r w:rsidR="00417B1A">
        <w:t xml:space="preserve"> L</w:t>
      </w:r>
      <w:r w:rsidR="003D3C91">
        <w:t>a</w:t>
      </w:r>
      <w:r w:rsidR="00417B1A">
        <w:t xml:space="preserve"> successiv</w:t>
      </w:r>
      <w:r w:rsidR="003D3C91">
        <w:t>a</w:t>
      </w:r>
      <w:r w:rsidR="00417B1A">
        <w:t xml:space="preserve"> Figura 1 riferit</w:t>
      </w:r>
      <w:r w:rsidR="003D3C91">
        <w:t>a</w:t>
      </w:r>
      <w:r w:rsidR="00417B1A">
        <w:t xml:space="preserve"> ad </w:t>
      </w:r>
      <w:r w:rsidR="003D3C91">
        <w:t xml:space="preserve">un </w:t>
      </w:r>
      <w:r w:rsidR="00417B1A">
        <w:t>impiant</w:t>
      </w:r>
      <w:r w:rsidR="003D3C91">
        <w:t>o</w:t>
      </w:r>
      <w:r w:rsidR="00417B1A">
        <w:t xml:space="preserve"> in corso di sviluppo/realizzazione esemplifica le modalità costruttive e la loro integrazione con l’attività agricola.</w:t>
      </w:r>
    </w:p>
    <w:p w14:paraId="37EEDDD4" w14:textId="33AF7EA2" w:rsidR="001131DD" w:rsidRDefault="00417B1A" w:rsidP="00196184">
      <w:pPr>
        <w:jc w:val="both"/>
      </w:pPr>
      <w:r>
        <w:t xml:space="preserve">Nello specifico, </w:t>
      </w:r>
      <w:r w:rsidR="00C64BFB">
        <w:t>la</w:t>
      </w:r>
      <w:r w:rsidR="001131DD">
        <w:t xml:space="preserve"> sezione </w:t>
      </w:r>
      <w:r w:rsidR="00C64BFB">
        <w:t xml:space="preserve">riportata in Figura 1 </w:t>
      </w:r>
      <w:r>
        <w:t xml:space="preserve">evidenzia </w:t>
      </w:r>
      <w:r w:rsidR="00C64BFB">
        <w:t xml:space="preserve">come il progetto preveda </w:t>
      </w:r>
      <w:r>
        <w:t>che</w:t>
      </w:r>
      <w:r w:rsidR="003D3C91">
        <w:t xml:space="preserve"> la superficie tra le file, e buona parte di quella sotto i pannelli, </w:t>
      </w:r>
      <w:r w:rsidR="00C64BFB">
        <w:t>verrà</w:t>
      </w:r>
      <w:r w:rsidR="003D3C91">
        <w:t xml:space="preserve"> coltivata secondo i piani agronomici in quanto totalmente raggiungibile dai mezzi agricoli.</w:t>
      </w:r>
    </w:p>
    <w:p w14:paraId="369F0B87" w14:textId="45B306EA" w:rsidR="00DF6EBF" w:rsidRDefault="003D3C91" w:rsidP="00AC25F4">
      <w:pPr>
        <w:jc w:val="both"/>
      </w:pPr>
      <w:r>
        <w:t>Inoltre, l</w:t>
      </w:r>
      <w:r w:rsidR="001131DD">
        <w:t>’area adiacente alle strutture</w:t>
      </w:r>
      <w:r>
        <w:t xml:space="preserve"> di sostegno dei pannelli può essere</w:t>
      </w:r>
      <w:r w:rsidR="001131DD">
        <w:t xml:space="preserve"> destinata ad una fascia di impollinazione a servizio di arnie posizionate nell’area di impianto;</w:t>
      </w:r>
    </w:p>
    <w:p w14:paraId="4FBBE38A" w14:textId="45D1E5F4" w:rsidR="000A1211" w:rsidRDefault="000A1211">
      <w:pPr>
        <w:jc w:val="both"/>
      </w:pPr>
      <w:r>
        <w:rPr>
          <w:noProof/>
          <w14:ligatures w14:val="none"/>
        </w:rPr>
        <w:lastRenderedPageBreak/>
        <w:drawing>
          <wp:inline distT="0" distB="0" distL="0" distR="0" wp14:anchorId="5C47F26E" wp14:editId="400D4940">
            <wp:extent cx="5607050" cy="7023100"/>
            <wp:effectExtent l="0" t="0" r="0" b="6350"/>
            <wp:docPr id="1108384585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470"/>
                    <a:stretch/>
                  </pic:blipFill>
                  <pic:spPr bwMode="auto">
                    <a:xfrm>
                      <a:off x="0" y="0"/>
                      <a:ext cx="5607050" cy="702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D3E7DD0" w14:textId="0B0FE851" w:rsidR="00417B1A" w:rsidRDefault="00417B1A" w:rsidP="00196184">
      <w:pPr>
        <w:pStyle w:val="Didascalia"/>
        <w:jc w:val="center"/>
      </w:pPr>
      <w:r w:rsidRPr="000A1211">
        <w:t xml:space="preserve">Figura </w:t>
      </w:r>
      <w:r w:rsidR="0056499D">
        <w:t>1</w:t>
      </w:r>
      <w:r w:rsidR="0056499D" w:rsidRPr="000A1211">
        <w:t xml:space="preserve"> </w:t>
      </w:r>
      <w:r w:rsidRPr="000A1211">
        <w:t xml:space="preserve">– </w:t>
      </w:r>
      <w:r w:rsidR="000A1211" w:rsidRPr="00196184">
        <w:t>Rappresentazione del prospetto frontale delle colture di frumento, orzo, soia</w:t>
      </w:r>
      <w:r w:rsidR="000A1211">
        <w:t xml:space="preserve"> in un impianto agrivoltaico avanzato autorizzato in provincia di Rovigo.</w:t>
      </w:r>
    </w:p>
    <w:p w14:paraId="11EE70FA" w14:textId="04962C17" w:rsidR="00417B1A" w:rsidRDefault="00417B1A" w:rsidP="00196184">
      <w:pPr>
        <w:jc w:val="both"/>
      </w:pPr>
    </w:p>
    <w:p w14:paraId="5C4F77AF" w14:textId="219D1449" w:rsidR="00A041C3" w:rsidRPr="00915D41" w:rsidRDefault="005B049F" w:rsidP="002920E6">
      <w:pPr>
        <w:pStyle w:val="Titolo3"/>
        <w:numPr>
          <w:ilvl w:val="0"/>
          <w:numId w:val="4"/>
        </w:numPr>
        <w:rPr>
          <w:color w:val="0B769F" w:themeColor="accent4" w:themeShade="BF"/>
        </w:rPr>
      </w:pPr>
      <w:r w:rsidRPr="00915D41">
        <w:rPr>
          <w:color w:val="0B769F" w:themeColor="accent4" w:themeShade="BF"/>
        </w:rPr>
        <w:t xml:space="preserve"> Agrivo</w:t>
      </w:r>
      <w:r>
        <w:rPr>
          <w:color w:val="0B769F" w:themeColor="accent4" w:themeShade="BF"/>
        </w:rPr>
        <w:t>ltaico verticale</w:t>
      </w:r>
    </w:p>
    <w:p w14:paraId="3F30354A" w14:textId="0F79129D" w:rsidR="005B049F" w:rsidRDefault="00576B28" w:rsidP="002920E6">
      <w:pPr>
        <w:ind w:left="142"/>
        <w:jc w:val="both"/>
      </w:pPr>
      <w:r w:rsidRPr="00915D41">
        <w:t>S</w:t>
      </w:r>
      <w:r w:rsidR="005B049F" w:rsidRPr="00915D41">
        <w:t xml:space="preserve">i coglie con favore l’attenzione dimostrata dall’Assemblea Legislativa verso </w:t>
      </w:r>
      <w:r w:rsidR="00FB7E62" w:rsidRPr="00915D41">
        <w:t>l’</w:t>
      </w:r>
      <w:proofErr w:type="spellStart"/>
      <w:r w:rsidR="00FB7E62" w:rsidRPr="00915D41">
        <w:t>agrivoltaico</w:t>
      </w:r>
      <w:proofErr w:type="spellEnd"/>
      <w:r w:rsidR="00FB7E62" w:rsidRPr="00915D41">
        <w:t xml:space="preserve"> </w:t>
      </w:r>
      <w:r w:rsidR="00393B55" w:rsidRPr="00915D41">
        <w:t>verticale</w:t>
      </w:r>
      <w:r w:rsidR="00BD2C94" w:rsidRPr="00915D41">
        <w:t xml:space="preserve"> </w:t>
      </w:r>
      <w:r w:rsidR="00021FDF" w:rsidRPr="00915D41">
        <w:t>(</w:t>
      </w:r>
      <w:proofErr w:type="spellStart"/>
      <w:r w:rsidR="00021FDF" w:rsidRPr="00915D41">
        <w:t>rif</w:t>
      </w:r>
      <w:r w:rsidR="005E0823" w:rsidRPr="00915D41">
        <w:t>.</w:t>
      </w:r>
      <w:proofErr w:type="spellEnd"/>
      <w:r w:rsidR="005B54C2" w:rsidRPr="00915D41">
        <w:t xml:space="preserve"> punti </w:t>
      </w:r>
      <w:r w:rsidR="003339A7" w:rsidRPr="00915D41">
        <w:t>1/c/</w:t>
      </w:r>
      <w:r w:rsidR="005B54C2" w:rsidRPr="00915D41">
        <w:t xml:space="preserve">2.2 e </w:t>
      </w:r>
      <w:r w:rsidR="003339A7" w:rsidRPr="00915D41">
        <w:t>1/c/</w:t>
      </w:r>
      <w:r w:rsidR="005B54C2" w:rsidRPr="00915D41">
        <w:t>3 del</w:t>
      </w:r>
      <w:r w:rsidR="00D91B7F" w:rsidRPr="00915D41">
        <w:t>la DAL 125/2023</w:t>
      </w:r>
      <w:r w:rsidR="005E0823" w:rsidRPr="00915D41">
        <w:t>)</w:t>
      </w:r>
      <w:r w:rsidR="001C2D57" w:rsidRPr="00915D41">
        <w:t>, che si caratterizza come una soluzione innovativa a bassissimo consumo di suolo</w:t>
      </w:r>
      <w:r w:rsidR="002C3B93" w:rsidRPr="00915D41">
        <w:t xml:space="preserve">, pur connotata da diversi aspetti ancora </w:t>
      </w:r>
      <w:r w:rsidR="0006043B" w:rsidRPr="00915D41">
        <w:t>non</w:t>
      </w:r>
      <w:r w:rsidR="004031A4" w:rsidRPr="00915D41">
        <w:t xml:space="preserve"> del </w:t>
      </w:r>
      <w:r w:rsidR="004031A4" w:rsidRPr="00915D41">
        <w:lastRenderedPageBreak/>
        <w:t>tutto</w:t>
      </w:r>
      <w:r w:rsidR="0006043B" w:rsidRPr="00915D41">
        <w:t xml:space="preserve"> </w:t>
      </w:r>
      <w:r w:rsidR="006F598E" w:rsidRPr="00915D41">
        <w:t xml:space="preserve">maturi dal punto di vista </w:t>
      </w:r>
      <w:r w:rsidR="00190092" w:rsidRPr="00915D41">
        <w:t>industriale</w:t>
      </w:r>
      <w:r w:rsidR="006C1F73" w:rsidRPr="00915D41">
        <w:t>.</w:t>
      </w:r>
      <w:r w:rsidR="00D91B7F" w:rsidRPr="00915D41">
        <w:t xml:space="preserve"> </w:t>
      </w:r>
      <w:r w:rsidR="004244A5" w:rsidRPr="00915D41">
        <w:t>P</w:t>
      </w:r>
      <w:r w:rsidR="008C256E" w:rsidRPr="00915D41">
        <w:t>roprio in virtù del carattere innovativo</w:t>
      </w:r>
      <w:r w:rsidR="009D52F5" w:rsidRPr="00915D41">
        <w:t xml:space="preserve"> della tecnologia</w:t>
      </w:r>
      <w:r w:rsidR="008C256E" w:rsidRPr="00915D41">
        <w:t>,</w:t>
      </w:r>
      <w:r w:rsidR="00D91B7F" w:rsidRPr="00915D41">
        <w:t xml:space="preserve"> risulta utile</w:t>
      </w:r>
      <w:r w:rsidR="00A35A7E" w:rsidRPr="00915D41">
        <w:t xml:space="preserve"> </w:t>
      </w:r>
      <w:r w:rsidR="00B00C56" w:rsidRPr="00AC25F4">
        <w:rPr>
          <w:b/>
          <w:bCs/>
          <w:color w:val="215E99" w:themeColor="text2" w:themeTint="BF"/>
        </w:rPr>
        <w:t xml:space="preserve">prevedere che </w:t>
      </w:r>
      <w:r w:rsidR="008C256E" w:rsidRPr="00AC25F4">
        <w:rPr>
          <w:b/>
          <w:bCs/>
          <w:color w:val="215E99" w:themeColor="text2" w:themeTint="BF"/>
        </w:rPr>
        <w:t>gli impianti agrivoltaici verticali</w:t>
      </w:r>
      <w:r w:rsidR="00B00C56" w:rsidRPr="00AC25F4">
        <w:rPr>
          <w:b/>
          <w:bCs/>
          <w:color w:val="215E99" w:themeColor="text2" w:themeTint="BF"/>
        </w:rPr>
        <w:t xml:space="preserve"> siano favoriti al pari degli impianti agrivoltaici avanzati</w:t>
      </w:r>
      <w:r w:rsidR="00915D41">
        <w:t>,</w:t>
      </w:r>
      <w:r w:rsidR="00B00C56" w:rsidRPr="00915D41">
        <w:t xml:space="preserve"> indipendentemente dal</w:t>
      </w:r>
      <w:r w:rsidR="00AE6F93" w:rsidRPr="00915D41">
        <w:t xml:space="preserve"> fatto che siano essi stessi classificabili come avanzati o meno</w:t>
      </w:r>
      <w:r w:rsidR="00A23662" w:rsidRPr="00915D41">
        <w:t>.</w:t>
      </w:r>
      <w:r w:rsidR="00CF5146" w:rsidRPr="00915D41">
        <w:t xml:space="preserve"> </w:t>
      </w:r>
      <w:r w:rsidR="00A1381B" w:rsidRPr="00915D41">
        <w:t>La formulazione oggi presente nella DAL 125 pare</w:t>
      </w:r>
      <w:r w:rsidR="003E11B4" w:rsidRPr="00915D41">
        <w:t xml:space="preserve"> infatti</w:t>
      </w:r>
      <w:r w:rsidR="00A1381B" w:rsidRPr="00915D41">
        <w:t xml:space="preserve"> </w:t>
      </w:r>
      <w:r w:rsidR="00496FA2" w:rsidRPr="00915D41">
        <w:t xml:space="preserve">agevolare l’agrivoltaico verticale solo laddove sia classificabile come avanzato, </w:t>
      </w:r>
      <w:r w:rsidR="00365FEE" w:rsidRPr="00915D41">
        <w:t>co</w:t>
      </w:r>
      <w:r w:rsidR="004032D7" w:rsidRPr="00915D41">
        <w:t>n conseguente rimando</w:t>
      </w:r>
      <w:r w:rsidR="0066054F" w:rsidRPr="00915D41">
        <w:t xml:space="preserve"> al</w:t>
      </w:r>
      <w:r w:rsidR="00A620A4" w:rsidRPr="00915D41">
        <w:t>le LG MASE del 2022 sull’agrivoltaico</w:t>
      </w:r>
      <w:r w:rsidR="005555A6">
        <w:t>.</w:t>
      </w:r>
      <w:r w:rsidR="004032D7" w:rsidRPr="00915D41">
        <w:t xml:space="preserve"> </w:t>
      </w:r>
      <w:r w:rsidR="005555A6">
        <w:t>S</w:t>
      </w:r>
      <w:r w:rsidR="0056499D">
        <w:t xml:space="preserve">i ritiene opportuno </w:t>
      </w:r>
      <w:r w:rsidR="005555A6">
        <w:t xml:space="preserve">chiarire </w:t>
      </w:r>
      <w:r w:rsidR="00620B41">
        <w:t xml:space="preserve">che </w:t>
      </w:r>
      <w:r w:rsidR="00620B41" w:rsidRPr="005555A6">
        <w:rPr>
          <w:b/>
          <w:bCs/>
          <w:color w:val="215E99" w:themeColor="text2" w:themeTint="BF"/>
        </w:rPr>
        <w:t xml:space="preserve">su aree destinate alla coltivazione </w:t>
      </w:r>
      <w:r w:rsidR="008222CE" w:rsidRPr="005555A6">
        <w:rPr>
          <w:b/>
          <w:bCs/>
          <w:color w:val="215E99" w:themeColor="text2" w:themeTint="BF"/>
        </w:rPr>
        <w:t>l’</w:t>
      </w:r>
      <w:r w:rsidR="00F1547F" w:rsidRPr="005555A6">
        <w:rPr>
          <w:b/>
          <w:bCs/>
          <w:color w:val="215E99" w:themeColor="text2" w:themeTint="BF"/>
        </w:rPr>
        <w:t xml:space="preserve">agrivoltaico verticale </w:t>
      </w:r>
      <w:r w:rsidR="008222CE" w:rsidRPr="005555A6">
        <w:rPr>
          <w:b/>
          <w:bCs/>
          <w:color w:val="215E99" w:themeColor="text2" w:themeTint="BF"/>
        </w:rPr>
        <w:t xml:space="preserve">venga equiparato a quello </w:t>
      </w:r>
      <w:r w:rsidR="00F1547F" w:rsidRPr="005555A6">
        <w:rPr>
          <w:b/>
          <w:bCs/>
          <w:color w:val="215E99" w:themeColor="text2" w:themeTint="BF"/>
        </w:rPr>
        <w:t xml:space="preserve">avanzato </w:t>
      </w:r>
      <w:r w:rsidR="00BF01A3" w:rsidRPr="005555A6">
        <w:rPr>
          <w:b/>
          <w:bCs/>
          <w:color w:val="215E99" w:themeColor="text2" w:themeTint="BF"/>
        </w:rPr>
        <w:t>a prescindere</w:t>
      </w:r>
      <w:r w:rsidR="00BF01A3">
        <w:t xml:space="preserve">, </w:t>
      </w:r>
      <w:r w:rsidR="0056499D">
        <w:t>indipendentemente dall’altezza da terra, in quanto consente le coltivazioni tra i filari di pannelli</w:t>
      </w:r>
      <w:r w:rsidR="007C561A">
        <w:t xml:space="preserve">. </w:t>
      </w:r>
    </w:p>
    <w:p w14:paraId="6BB8668A" w14:textId="77777777" w:rsidR="004B5331" w:rsidRPr="00915D41" w:rsidRDefault="004B5331" w:rsidP="002920E6">
      <w:pPr>
        <w:ind w:left="142"/>
        <w:jc w:val="both"/>
      </w:pPr>
    </w:p>
    <w:p w14:paraId="3FBF108A" w14:textId="22B52F06" w:rsidR="00A041C3" w:rsidRPr="00C6154B" w:rsidRDefault="00A041C3" w:rsidP="00D73613">
      <w:pPr>
        <w:pStyle w:val="Titolo3"/>
        <w:numPr>
          <w:ilvl w:val="0"/>
          <w:numId w:val="4"/>
        </w:numPr>
        <w:rPr>
          <w:color w:val="0B769F" w:themeColor="accent4" w:themeShade="BF"/>
        </w:rPr>
      </w:pPr>
      <w:r w:rsidRPr="00C6154B">
        <w:rPr>
          <w:color w:val="0B769F" w:themeColor="accent4" w:themeShade="BF"/>
        </w:rPr>
        <w:t>Requisiti soggettivi</w:t>
      </w:r>
    </w:p>
    <w:p w14:paraId="6EE0E7FB" w14:textId="7A2BA682" w:rsidR="00567E01" w:rsidRDefault="00A041C3" w:rsidP="00AF798B">
      <w:pPr>
        <w:pStyle w:val="Paragrafoelenco"/>
        <w:numPr>
          <w:ilvl w:val="0"/>
          <w:numId w:val="3"/>
        </w:numPr>
        <w:ind w:left="142" w:firstLine="0"/>
        <w:jc w:val="both"/>
      </w:pPr>
      <w:r>
        <w:t xml:space="preserve">Si richiede di non introdurre “rigidità” in termini di requisiti soggettivi come condizione per l’avvio dell’iter autorizzativo, </w:t>
      </w:r>
      <w:r w:rsidR="00567E01">
        <w:t xml:space="preserve">e di consentire la realizzazione di impianti agrivoltaici anche in assenza della costituzione di una ATI tra impresa agricola e impresa energetica, mantenendo comunque il vincolo della continuità agricola per l’impresa energetica titolare dell’impianto. </w:t>
      </w:r>
      <w:r w:rsidR="00417B1A">
        <w:t>Come noto, infatti, l</w:t>
      </w:r>
      <w:r w:rsidR="00567E01">
        <w:t>e aziende agricole sono di piccole dimensioni e di solito non propense alla costituzione di ATI.</w:t>
      </w:r>
    </w:p>
    <w:p w14:paraId="0BF4B5D9" w14:textId="779FB439" w:rsidR="00A041C3" w:rsidRDefault="00567E01" w:rsidP="00AF798B">
      <w:pPr>
        <w:pStyle w:val="Paragrafoelenco"/>
        <w:numPr>
          <w:ilvl w:val="0"/>
          <w:numId w:val="3"/>
        </w:numPr>
        <w:ind w:left="142" w:firstLine="0"/>
        <w:jc w:val="both"/>
      </w:pPr>
      <w:r>
        <w:t xml:space="preserve">Nel caso in cui la rimozione del vincolo non fosse possibile, si chiede </w:t>
      </w:r>
      <w:r w:rsidR="00A041C3" w:rsidRPr="00CF7C2C">
        <w:rPr>
          <w:b/>
          <w:bCs/>
          <w:color w:val="0B769F" w:themeColor="accent4" w:themeShade="BF"/>
        </w:rPr>
        <w:t>di consentire di costituire forme di associazione tra l’impresa agricola e l’impresa energetica a valle dell’ottenimento del titolo autorizzativo</w:t>
      </w:r>
      <w:r w:rsidR="00A041C3">
        <w:t>.</w:t>
      </w:r>
    </w:p>
    <w:p w14:paraId="56994876" w14:textId="7567AA51" w:rsidR="00AF798B" w:rsidRDefault="00AF798B" w:rsidP="00092509">
      <w:pPr>
        <w:pStyle w:val="Paragrafoelenco"/>
        <w:numPr>
          <w:ilvl w:val="0"/>
          <w:numId w:val="3"/>
        </w:numPr>
        <w:ind w:left="142" w:firstLine="0"/>
        <w:jc w:val="both"/>
      </w:pPr>
      <w:r w:rsidRPr="00AF798B">
        <w:t>La Regione,</w:t>
      </w:r>
      <w:r w:rsidR="00D10F86">
        <w:t xml:space="preserve"> infatti</w:t>
      </w:r>
      <w:r w:rsidRPr="00AF798B">
        <w:t xml:space="preserve">, tramite parere (prot. 1264886 del 21/12/23), ha espresso la necessità di costituire una ATI o altra forma associativa tra l'impresa del settore energia e l'impresa agricola. Tale requisito, tuttavia, </w:t>
      </w:r>
      <w:r w:rsidRPr="00AC25F4">
        <w:rPr>
          <w:b/>
          <w:bCs/>
          <w:color w:val="0B769F" w:themeColor="accent4" w:themeShade="BF"/>
        </w:rPr>
        <w:t>non è richiesto dalla normativa nazionale</w:t>
      </w:r>
      <w:r w:rsidRPr="00AF798B">
        <w:t xml:space="preserve"> per l'installazione di impianti agrivoltaici, ma riguarda soltanto i casi in cui si voglia accedere ai fondi del PNRR, per cui a nostro avviso è opportuno non estenderlo a qualsiasi iniziativa che preveda l'agrivoltaico.</w:t>
      </w:r>
    </w:p>
    <w:p w14:paraId="2F9223B6" w14:textId="77777777" w:rsidR="00A041C3" w:rsidRDefault="00A041C3" w:rsidP="00A041C3"/>
    <w:p w14:paraId="447DEE82" w14:textId="1F17EF7C" w:rsidR="00A041C3" w:rsidRPr="00C6154B" w:rsidRDefault="00A041C3" w:rsidP="00D73613">
      <w:pPr>
        <w:pStyle w:val="Titolo3"/>
        <w:numPr>
          <w:ilvl w:val="0"/>
          <w:numId w:val="4"/>
        </w:numPr>
        <w:rPr>
          <w:color w:val="0B769F" w:themeColor="accent4" w:themeShade="BF"/>
        </w:rPr>
      </w:pPr>
      <w:r w:rsidRPr="00C6154B">
        <w:rPr>
          <w:color w:val="0B769F" w:themeColor="accent4" w:themeShade="BF"/>
        </w:rPr>
        <w:t>Meccanismi di verifica della presenza di Colture certificate</w:t>
      </w:r>
    </w:p>
    <w:p w14:paraId="116C4429" w14:textId="630B57F7" w:rsidR="00620D5C" w:rsidRDefault="00A041C3" w:rsidP="00FB2C80">
      <w:pPr>
        <w:pStyle w:val="Paragrafoelenco"/>
        <w:numPr>
          <w:ilvl w:val="0"/>
          <w:numId w:val="3"/>
        </w:numPr>
        <w:ind w:left="0" w:firstLine="0"/>
        <w:jc w:val="both"/>
      </w:pPr>
      <w:r>
        <w:t>Con riferimento alla coltivazione dei “foraggi</w:t>
      </w:r>
      <w:r w:rsidR="00620D5C">
        <w:t>” all’interno dell’areale DOP del Parmigiano Reggiano, poiché</w:t>
      </w:r>
      <w:r w:rsidR="00417B1A">
        <w:t>,</w:t>
      </w:r>
      <w:r w:rsidR="00620D5C">
        <w:t xml:space="preserve"> come noto</w:t>
      </w:r>
      <w:r w:rsidR="00417B1A">
        <w:t>,</w:t>
      </w:r>
      <w:r w:rsidR="00620D5C">
        <w:t xml:space="preserve"> non tutte le colture di questo tipo sono destinate alla filiera del Parmigiano Reggiano, si propone di </w:t>
      </w:r>
      <w:r w:rsidR="00620D5C" w:rsidRPr="009639A7">
        <w:rPr>
          <w:b/>
          <w:bCs/>
          <w:color w:val="0B769F" w:themeColor="accent4" w:themeShade="BF"/>
        </w:rPr>
        <w:t>limitare le restrizioni previste per le colture certificate alle sole coltivazioni effettivamente destinate alla produzione del Parmigiano Reggiano</w:t>
      </w:r>
      <w:r w:rsidR="00915D41">
        <w:t>. Al fine di salvaguardare i terreni ritenuti necessari alla tutela della filiera del Parmigiano Reggiano e, al tempo stesso non porre a priori ulteriori vincoli allo sviluppo di impianti fotovoltaici, potrebbe essere individuata la superficie agricola a livello regionale</w:t>
      </w:r>
      <w:r w:rsidR="009D4917">
        <w:t>,</w:t>
      </w:r>
      <w:r w:rsidR="00915D41">
        <w:t xml:space="preserve"> ed eventualmente provinciale</w:t>
      </w:r>
      <w:r w:rsidR="009D4917">
        <w:t>,</w:t>
      </w:r>
      <w:r w:rsidR="00915D41">
        <w:t xml:space="preserve"> necessaria</w:t>
      </w:r>
      <w:r w:rsidR="009D4917">
        <w:t xml:space="preserve"> alla filiera e</w:t>
      </w:r>
      <w:r w:rsidR="002025B3">
        <w:t>, conseguentemente,</w:t>
      </w:r>
      <w:r w:rsidR="009D4917">
        <w:t xml:space="preserve"> </w:t>
      </w:r>
      <w:r w:rsidR="002025B3">
        <w:t xml:space="preserve">la Regione potrebbe stabilire </w:t>
      </w:r>
      <w:r w:rsidR="009D4917">
        <w:t xml:space="preserve">un tetto massimo alla superficie agricola utilizzabile per impianti FV oltre il quale </w:t>
      </w:r>
      <w:r w:rsidR="00620D5C">
        <w:t>reintrodurre le limitazioni indipendentemente dalla destinazione de</w:t>
      </w:r>
      <w:r w:rsidR="006A228F">
        <w:t xml:space="preserve">i </w:t>
      </w:r>
      <w:r w:rsidR="00620D5C">
        <w:t>foraggi.</w:t>
      </w:r>
      <w:r w:rsidR="00FB2C80">
        <w:t xml:space="preserve"> In alternativa a quanto sopra ed in collaborazione con il Consorzio del Formaggio Parmigiano Reggiano si </w:t>
      </w:r>
      <w:r w:rsidR="00FB2C80">
        <w:lastRenderedPageBreak/>
        <w:t>potrebbe individuare un meccanismo di tracciabilità/provenienza delle colture certificate destinate a tale filiera (ad esempio autodichiarazione da parte dell’impresa agricola/coltivatore che fornisce la coltura per tale fine o un meccanismo analogo a quello della tracciabilità dei rifiuti mediante codice di rintracciabilità.</w:t>
      </w:r>
    </w:p>
    <w:p w14:paraId="176C50D7" w14:textId="010D3330" w:rsidR="00620D5C" w:rsidRDefault="009639A7" w:rsidP="00A041C3">
      <w:pPr>
        <w:pStyle w:val="Paragrafoelenco"/>
        <w:numPr>
          <w:ilvl w:val="0"/>
          <w:numId w:val="3"/>
        </w:numPr>
        <w:ind w:left="0" w:firstLine="0"/>
        <w:jc w:val="both"/>
      </w:pPr>
      <w:r>
        <w:t xml:space="preserve">Si evidenzia inoltre </w:t>
      </w:r>
      <w:r w:rsidR="00CC35E8">
        <w:t xml:space="preserve">l’importanza di </w:t>
      </w:r>
      <w:r w:rsidR="00CC35E8" w:rsidRPr="00AC25F4">
        <w:rPr>
          <w:b/>
          <w:bCs/>
          <w:color w:val="0B769F" w:themeColor="accent4" w:themeShade="BF"/>
        </w:rPr>
        <w:t xml:space="preserve">chiarire </w:t>
      </w:r>
      <w:r w:rsidR="00B52735" w:rsidRPr="00AC25F4">
        <w:rPr>
          <w:b/>
          <w:bCs/>
          <w:color w:val="0B769F" w:themeColor="accent4" w:themeShade="BF"/>
        </w:rPr>
        <w:t>esplicitamente a</w:t>
      </w:r>
      <w:r w:rsidR="00CC35E8" w:rsidRPr="00AC25F4">
        <w:rPr>
          <w:b/>
          <w:bCs/>
          <w:color w:val="0B769F" w:themeColor="accent4" w:themeShade="BF"/>
        </w:rPr>
        <w:t>i Comuni</w:t>
      </w:r>
      <w:r w:rsidR="00B52735">
        <w:t xml:space="preserve">, </w:t>
      </w:r>
      <w:r w:rsidR="0043071D">
        <w:t xml:space="preserve">che spesso per </w:t>
      </w:r>
      <w:r w:rsidR="001872E1">
        <w:t>mancanza di chiarezza interpretano</w:t>
      </w:r>
      <w:r w:rsidR="00D10F86">
        <w:t xml:space="preserve"> i vari disposti normativi</w:t>
      </w:r>
      <w:r w:rsidR="00895297">
        <w:t xml:space="preserve"> </w:t>
      </w:r>
      <w:r w:rsidR="001872E1">
        <w:t>in maniera penalizzante per le aziende,</w:t>
      </w:r>
      <w:r w:rsidR="00CC35E8">
        <w:t xml:space="preserve"> </w:t>
      </w:r>
      <w:r>
        <w:t xml:space="preserve">che </w:t>
      </w:r>
      <w:r w:rsidRPr="009639A7">
        <w:t>il Programma di Riconversione o Ammodernamento dell'attività agricola (PRA) (</w:t>
      </w:r>
      <w:proofErr w:type="spellStart"/>
      <w:r w:rsidRPr="009639A7">
        <w:t>rif.</w:t>
      </w:r>
      <w:proofErr w:type="spellEnd"/>
      <w:r w:rsidRPr="009639A7">
        <w:t xml:space="preserve"> DAL 125/2023) è richiesto soltanto nei casi in cui siano presenti coltivazioni certificate (es. DOP, DOCG, ecc.) alla data di presentazione della richiesta autorizzativa. Se viceversa non sono presenti, allora non è richiesto</w:t>
      </w:r>
      <w:r w:rsidR="00956AA2">
        <w:t>.</w:t>
      </w:r>
    </w:p>
    <w:p w14:paraId="4E4743EA" w14:textId="77777777" w:rsidR="002025B3" w:rsidRDefault="002025B3" w:rsidP="00196184">
      <w:pPr>
        <w:pStyle w:val="Paragrafoelenco"/>
        <w:ind w:left="0"/>
        <w:jc w:val="both"/>
      </w:pPr>
    </w:p>
    <w:p w14:paraId="56B1A49C" w14:textId="77777777" w:rsidR="00620D5C" w:rsidRPr="00C6154B" w:rsidRDefault="00620D5C" w:rsidP="00D73613">
      <w:pPr>
        <w:pStyle w:val="Titolo3"/>
        <w:numPr>
          <w:ilvl w:val="0"/>
          <w:numId w:val="4"/>
        </w:numPr>
        <w:rPr>
          <w:color w:val="0B769F" w:themeColor="accent4" w:themeShade="BF"/>
        </w:rPr>
      </w:pPr>
      <w:r w:rsidRPr="00C6154B">
        <w:rPr>
          <w:color w:val="0B769F" w:themeColor="accent4" w:themeShade="BF"/>
        </w:rPr>
        <w:t>Deroghe per gli impianti destinati a Comunità Energetiche</w:t>
      </w:r>
    </w:p>
    <w:p w14:paraId="1C022C5C" w14:textId="7C4EA730" w:rsidR="00BD15E6" w:rsidRPr="00AF4307" w:rsidRDefault="00620D5C" w:rsidP="00C64BFB">
      <w:pPr>
        <w:jc w:val="both"/>
      </w:pPr>
      <w:r>
        <w:t xml:space="preserve">Si ritiene opportuno </w:t>
      </w:r>
      <w:r w:rsidRPr="006A228F">
        <w:rPr>
          <w:b/>
          <w:bCs/>
          <w:color w:val="0B769F" w:themeColor="accent4" w:themeShade="BF"/>
        </w:rPr>
        <w:t>introdurre deroghe specifiche</w:t>
      </w:r>
      <w:r>
        <w:t>, oltre a quelle già previste dal legislatore nazionale all’interno del DL 63/2024, per gli impianti fotovoltaici a terra su aree agricole destinati a Comunità Energetiche</w:t>
      </w:r>
      <w:r w:rsidR="00CC18C2">
        <w:t>, che valgano anche per le limitazioni introdotte dalla DGR 693</w:t>
      </w:r>
      <w:r w:rsidR="00567E01">
        <w:t>/2024 sulle aree certificate.</w:t>
      </w:r>
    </w:p>
    <w:sectPr w:rsidR="00BD15E6" w:rsidRPr="00AF4307">
      <w:footerReference w:type="defaul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4ADA91" w14:textId="77777777" w:rsidR="003B7F51" w:rsidRDefault="003B7F51" w:rsidP="006D3AC0">
      <w:pPr>
        <w:spacing w:after="0" w:line="240" w:lineRule="auto"/>
      </w:pPr>
      <w:r>
        <w:separator/>
      </w:r>
    </w:p>
  </w:endnote>
  <w:endnote w:type="continuationSeparator" w:id="0">
    <w:p w14:paraId="30C4A5A1" w14:textId="77777777" w:rsidR="003B7F51" w:rsidRDefault="003B7F51" w:rsidP="006D3A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31852673"/>
      <w:docPartObj>
        <w:docPartGallery w:val="Page Numbers (Bottom of Page)"/>
        <w:docPartUnique/>
      </w:docPartObj>
    </w:sdtPr>
    <w:sdtEndPr/>
    <w:sdtContent>
      <w:p w14:paraId="4510BDDC" w14:textId="2BF61D0D" w:rsidR="006D3AC0" w:rsidRDefault="006D3AC0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887AFE8" w14:textId="77777777" w:rsidR="006D3AC0" w:rsidRDefault="006D3AC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733239" w14:textId="77777777" w:rsidR="003B7F51" w:rsidRDefault="003B7F51" w:rsidP="006D3AC0">
      <w:pPr>
        <w:spacing w:after="0" w:line="240" w:lineRule="auto"/>
      </w:pPr>
      <w:r>
        <w:separator/>
      </w:r>
    </w:p>
  </w:footnote>
  <w:footnote w:type="continuationSeparator" w:id="0">
    <w:p w14:paraId="5CCB3D2C" w14:textId="77777777" w:rsidR="003B7F51" w:rsidRDefault="003B7F51" w:rsidP="006D3A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0F0DF0"/>
    <w:multiLevelType w:val="hybridMultilevel"/>
    <w:tmpl w:val="2CE0FC1A"/>
    <w:lvl w:ilvl="0" w:tplc="FFFFFFFF">
      <w:start w:val="1"/>
      <w:numFmt w:val="decimal"/>
      <w:lvlText w:val="%1."/>
      <w:lvlJc w:val="center"/>
      <w:pPr>
        <w:ind w:left="7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20202310"/>
    <w:multiLevelType w:val="hybridMultilevel"/>
    <w:tmpl w:val="F2902C4E"/>
    <w:lvl w:ilvl="0" w:tplc="FFFFFFFF">
      <w:start w:val="1"/>
      <w:numFmt w:val="decimal"/>
      <w:lvlText w:val="%1."/>
      <w:lvlJc w:val="center"/>
      <w:pPr>
        <w:ind w:left="7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2E135B45"/>
    <w:multiLevelType w:val="hybridMultilevel"/>
    <w:tmpl w:val="84AC42A2"/>
    <w:lvl w:ilvl="0" w:tplc="2EC20F34">
      <w:numFmt w:val="bullet"/>
      <w:lvlText w:val="-"/>
      <w:lvlJc w:val="left"/>
      <w:pPr>
        <w:ind w:left="720" w:hanging="360"/>
      </w:pPr>
      <w:rPr>
        <w:rFonts w:ascii="Aptos" w:eastAsiaTheme="majorEastAsia" w:hAnsi="Aptos" w:cstheme="maj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4D464F"/>
    <w:multiLevelType w:val="hybridMultilevel"/>
    <w:tmpl w:val="F2902C4E"/>
    <w:lvl w:ilvl="0" w:tplc="FFFFFFFF">
      <w:start w:val="1"/>
      <w:numFmt w:val="decimal"/>
      <w:lvlText w:val="%1."/>
      <w:lvlJc w:val="center"/>
      <w:pPr>
        <w:ind w:left="7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3ECA1E7F"/>
    <w:multiLevelType w:val="hybridMultilevel"/>
    <w:tmpl w:val="E1B0D3E6"/>
    <w:lvl w:ilvl="0" w:tplc="A256368C">
      <w:numFmt w:val="bullet"/>
      <w:lvlText w:val="-"/>
      <w:lvlJc w:val="left"/>
      <w:pPr>
        <w:ind w:left="502" w:hanging="360"/>
      </w:pPr>
      <w:rPr>
        <w:rFonts w:ascii="Aptos" w:eastAsiaTheme="minorHAnsi" w:hAnsi="Apto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 w15:restartNumberingAfterBreak="0">
    <w:nsid w:val="4F897490"/>
    <w:multiLevelType w:val="hybridMultilevel"/>
    <w:tmpl w:val="092C3E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C5531B"/>
    <w:multiLevelType w:val="hybridMultilevel"/>
    <w:tmpl w:val="F2902C4E"/>
    <w:lvl w:ilvl="0" w:tplc="ECD071FC">
      <w:start w:val="1"/>
      <w:numFmt w:val="decimal"/>
      <w:lvlText w:val="%1."/>
      <w:lvlJc w:val="center"/>
      <w:pPr>
        <w:ind w:left="7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 w15:restartNumberingAfterBreak="0">
    <w:nsid w:val="732643D7"/>
    <w:multiLevelType w:val="hybridMultilevel"/>
    <w:tmpl w:val="89F2891E"/>
    <w:lvl w:ilvl="0" w:tplc="AC0CD65E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A80F52"/>
    <w:multiLevelType w:val="hybridMultilevel"/>
    <w:tmpl w:val="4C9C7C46"/>
    <w:lvl w:ilvl="0" w:tplc="034A78EA">
      <w:numFmt w:val="bullet"/>
      <w:lvlText w:val="-"/>
      <w:lvlJc w:val="left"/>
      <w:pPr>
        <w:ind w:left="360" w:hanging="360"/>
      </w:pPr>
      <w:rPr>
        <w:rFonts w:ascii="Aptos" w:eastAsiaTheme="minorHAnsi" w:hAnsi="Aptos" w:cstheme="minorBidi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B0A0715"/>
    <w:multiLevelType w:val="multilevel"/>
    <w:tmpl w:val="B4326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49432917">
    <w:abstractNumId w:val="7"/>
  </w:num>
  <w:num w:numId="2" w16cid:durableId="810946480">
    <w:abstractNumId w:val="2"/>
  </w:num>
  <w:num w:numId="3" w16cid:durableId="1366977142">
    <w:abstractNumId w:val="8"/>
  </w:num>
  <w:num w:numId="4" w16cid:durableId="1327202178">
    <w:abstractNumId w:val="6"/>
  </w:num>
  <w:num w:numId="5" w16cid:durableId="1478762664">
    <w:abstractNumId w:val="0"/>
  </w:num>
  <w:num w:numId="6" w16cid:durableId="1669945921">
    <w:abstractNumId w:val="1"/>
  </w:num>
  <w:num w:numId="7" w16cid:durableId="1350831593">
    <w:abstractNumId w:val="4"/>
  </w:num>
  <w:num w:numId="8" w16cid:durableId="714932666">
    <w:abstractNumId w:val="9"/>
  </w:num>
  <w:num w:numId="9" w16cid:durableId="336081407">
    <w:abstractNumId w:val="5"/>
  </w:num>
  <w:num w:numId="10" w16cid:durableId="1142977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91A"/>
    <w:rsid w:val="00002B64"/>
    <w:rsid w:val="00021FDF"/>
    <w:rsid w:val="0002281C"/>
    <w:rsid w:val="00022A9A"/>
    <w:rsid w:val="00041174"/>
    <w:rsid w:val="00041C1E"/>
    <w:rsid w:val="000561B2"/>
    <w:rsid w:val="0006043B"/>
    <w:rsid w:val="0006633D"/>
    <w:rsid w:val="0007230A"/>
    <w:rsid w:val="000742B8"/>
    <w:rsid w:val="000757C1"/>
    <w:rsid w:val="00077459"/>
    <w:rsid w:val="00077613"/>
    <w:rsid w:val="00082016"/>
    <w:rsid w:val="0008215D"/>
    <w:rsid w:val="00082E86"/>
    <w:rsid w:val="00092509"/>
    <w:rsid w:val="000926B5"/>
    <w:rsid w:val="000A1211"/>
    <w:rsid w:val="000A36C3"/>
    <w:rsid w:val="000A79DD"/>
    <w:rsid w:val="000B1E22"/>
    <w:rsid w:val="000B2343"/>
    <w:rsid w:val="000B399A"/>
    <w:rsid w:val="000C15C0"/>
    <w:rsid w:val="000C3523"/>
    <w:rsid w:val="000C4005"/>
    <w:rsid w:val="000D3455"/>
    <w:rsid w:val="000F6ECC"/>
    <w:rsid w:val="000F6FC9"/>
    <w:rsid w:val="0010027F"/>
    <w:rsid w:val="001011EC"/>
    <w:rsid w:val="001131DD"/>
    <w:rsid w:val="001151FC"/>
    <w:rsid w:val="0011591F"/>
    <w:rsid w:val="00120514"/>
    <w:rsid w:val="00124050"/>
    <w:rsid w:val="001300CA"/>
    <w:rsid w:val="00133840"/>
    <w:rsid w:val="0013512A"/>
    <w:rsid w:val="00137CDD"/>
    <w:rsid w:val="00152436"/>
    <w:rsid w:val="00152664"/>
    <w:rsid w:val="0016532C"/>
    <w:rsid w:val="00172C36"/>
    <w:rsid w:val="00173CF6"/>
    <w:rsid w:val="001746B1"/>
    <w:rsid w:val="00176ABB"/>
    <w:rsid w:val="00177115"/>
    <w:rsid w:val="0018126B"/>
    <w:rsid w:val="001872E1"/>
    <w:rsid w:val="00190092"/>
    <w:rsid w:val="00196184"/>
    <w:rsid w:val="001A3CD9"/>
    <w:rsid w:val="001B16D8"/>
    <w:rsid w:val="001B1835"/>
    <w:rsid w:val="001B47B2"/>
    <w:rsid w:val="001B6E7F"/>
    <w:rsid w:val="001C1BA6"/>
    <w:rsid w:val="001C2D57"/>
    <w:rsid w:val="001C3E94"/>
    <w:rsid w:val="001C4A9B"/>
    <w:rsid w:val="001C6A76"/>
    <w:rsid w:val="001D0C03"/>
    <w:rsid w:val="001E171D"/>
    <w:rsid w:val="001E6990"/>
    <w:rsid w:val="001F2603"/>
    <w:rsid w:val="002025B3"/>
    <w:rsid w:val="00202C7B"/>
    <w:rsid w:val="002159C2"/>
    <w:rsid w:val="00217021"/>
    <w:rsid w:val="00226320"/>
    <w:rsid w:val="00227F31"/>
    <w:rsid w:val="00230CFF"/>
    <w:rsid w:val="00235D21"/>
    <w:rsid w:val="00250118"/>
    <w:rsid w:val="00257477"/>
    <w:rsid w:val="00265C24"/>
    <w:rsid w:val="002848A5"/>
    <w:rsid w:val="00286041"/>
    <w:rsid w:val="002920E6"/>
    <w:rsid w:val="00292364"/>
    <w:rsid w:val="0029551E"/>
    <w:rsid w:val="002B7AFC"/>
    <w:rsid w:val="002C3B93"/>
    <w:rsid w:val="002C4E95"/>
    <w:rsid w:val="002D103C"/>
    <w:rsid w:val="002D19CC"/>
    <w:rsid w:val="002D2D2C"/>
    <w:rsid w:val="002D64A8"/>
    <w:rsid w:val="003145D9"/>
    <w:rsid w:val="003161D2"/>
    <w:rsid w:val="0031698D"/>
    <w:rsid w:val="003228EE"/>
    <w:rsid w:val="00322B87"/>
    <w:rsid w:val="00323EA3"/>
    <w:rsid w:val="0032798B"/>
    <w:rsid w:val="0033122E"/>
    <w:rsid w:val="003339A7"/>
    <w:rsid w:val="00340AFD"/>
    <w:rsid w:val="00341066"/>
    <w:rsid w:val="003419C7"/>
    <w:rsid w:val="00343693"/>
    <w:rsid w:val="00347EE9"/>
    <w:rsid w:val="00350D26"/>
    <w:rsid w:val="00352B98"/>
    <w:rsid w:val="00357A11"/>
    <w:rsid w:val="00361B15"/>
    <w:rsid w:val="00365FEE"/>
    <w:rsid w:val="003705A0"/>
    <w:rsid w:val="0038492A"/>
    <w:rsid w:val="00393B55"/>
    <w:rsid w:val="00395B6D"/>
    <w:rsid w:val="0039762D"/>
    <w:rsid w:val="003A250F"/>
    <w:rsid w:val="003A3645"/>
    <w:rsid w:val="003B15AE"/>
    <w:rsid w:val="003B4BD7"/>
    <w:rsid w:val="003B58F1"/>
    <w:rsid w:val="003B7F51"/>
    <w:rsid w:val="003C7A6A"/>
    <w:rsid w:val="003D391A"/>
    <w:rsid w:val="003D3C91"/>
    <w:rsid w:val="003D4792"/>
    <w:rsid w:val="003E11B4"/>
    <w:rsid w:val="003E2D92"/>
    <w:rsid w:val="003E3212"/>
    <w:rsid w:val="003E45AF"/>
    <w:rsid w:val="003F025E"/>
    <w:rsid w:val="003F0FA6"/>
    <w:rsid w:val="004031A4"/>
    <w:rsid w:val="004032D7"/>
    <w:rsid w:val="00403FAD"/>
    <w:rsid w:val="00417B1A"/>
    <w:rsid w:val="004244A5"/>
    <w:rsid w:val="0043071D"/>
    <w:rsid w:val="00434D9E"/>
    <w:rsid w:val="00441415"/>
    <w:rsid w:val="0044308D"/>
    <w:rsid w:val="0047066A"/>
    <w:rsid w:val="00471138"/>
    <w:rsid w:val="00472620"/>
    <w:rsid w:val="004803EB"/>
    <w:rsid w:val="00494736"/>
    <w:rsid w:val="00496FA2"/>
    <w:rsid w:val="004A1234"/>
    <w:rsid w:val="004A3BA0"/>
    <w:rsid w:val="004B15EB"/>
    <w:rsid w:val="004B4C4E"/>
    <w:rsid w:val="004B4EAE"/>
    <w:rsid w:val="004B5331"/>
    <w:rsid w:val="004B6748"/>
    <w:rsid w:val="004B78FF"/>
    <w:rsid w:val="004D7868"/>
    <w:rsid w:val="004F3381"/>
    <w:rsid w:val="004F3BF9"/>
    <w:rsid w:val="00500FF6"/>
    <w:rsid w:val="00511633"/>
    <w:rsid w:val="00512EAF"/>
    <w:rsid w:val="005130AF"/>
    <w:rsid w:val="00530F88"/>
    <w:rsid w:val="00532DD2"/>
    <w:rsid w:val="00536417"/>
    <w:rsid w:val="00543D5F"/>
    <w:rsid w:val="005526BD"/>
    <w:rsid w:val="00552BF9"/>
    <w:rsid w:val="0055528B"/>
    <w:rsid w:val="005555A6"/>
    <w:rsid w:val="0056499D"/>
    <w:rsid w:val="00567E01"/>
    <w:rsid w:val="00570A2C"/>
    <w:rsid w:val="00570DE4"/>
    <w:rsid w:val="0057283E"/>
    <w:rsid w:val="00574D7E"/>
    <w:rsid w:val="00576B28"/>
    <w:rsid w:val="00583C53"/>
    <w:rsid w:val="005857B9"/>
    <w:rsid w:val="00587BB8"/>
    <w:rsid w:val="005971F2"/>
    <w:rsid w:val="005A2B57"/>
    <w:rsid w:val="005B049F"/>
    <w:rsid w:val="005B228A"/>
    <w:rsid w:val="005B2927"/>
    <w:rsid w:val="005B3AA5"/>
    <w:rsid w:val="005B54C2"/>
    <w:rsid w:val="005C6294"/>
    <w:rsid w:val="005E0823"/>
    <w:rsid w:val="005E7BD7"/>
    <w:rsid w:val="0060371C"/>
    <w:rsid w:val="006057DE"/>
    <w:rsid w:val="00607A6F"/>
    <w:rsid w:val="006142AD"/>
    <w:rsid w:val="006153E8"/>
    <w:rsid w:val="00620B41"/>
    <w:rsid w:val="00620D5C"/>
    <w:rsid w:val="0062307B"/>
    <w:rsid w:val="00632AFB"/>
    <w:rsid w:val="00632B8A"/>
    <w:rsid w:val="0063756F"/>
    <w:rsid w:val="00643F07"/>
    <w:rsid w:val="00644CD5"/>
    <w:rsid w:val="006458B3"/>
    <w:rsid w:val="0066054F"/>
    <w:rsid w:val="006614C4"/>
    <w:rsid w:val="00666B24"/>
    <w:rsid w:val="00670E07"/>
    <w:rsid w:val="006853A1"/>
    <w:rsid w:val="006879A1"/>
    <w:rsid w:val="006904C4"/>
    <w:rsid w:val="0069625A"/>
    <w:rsid w:val="006A0795"/>
    <w:rsid w:val="006A1D72"/>
    <w:rsid w:val="006A228F"/>
    <w:rsid w:val="006B0FD0"/>
    <w:rsid w:val="006C01DA"/>
    <w:rsid w:val="006C1F73"/>
    <w:rsid w:val="006C6C07"/>
    <w:rsid w:val="006D2439"/>
    <w:rsid w:val="006D2EBF"/>
    <w:rsid w:val="006D3AC0"/>
    <w:rsid w:val="006F1791"/>
    <w:rsid w:val="006F4D85"/>
    <w:rsid w:val="006F5128"/>
    <w:rsid w:val="006F598E"/>
    <w:rsid w:val="006F79BF"/>
    <w:rsid w:val="0073454A"/>
    <w:rsid w:val="00734BF5"/>
    <w:rsid w:val="00734F01"/>
    <w:rsid w:val="00741179"/>
    <w:rsid w:val="0074569C"/>
    <w:rsid w:val="00750DF2"/>
    <w:rsid w:val="007665AF"/>
    <w:rsid w:val="00773426"/>
    <w:rsid w:val="00793023"/>
    <w:rsid w:val="00793F6B"/>
    <w:rsid w:val="007A2098"/>
    <w:rsid w:val="007B23F7"/>
    <w:rsid w:val="007B25E4"/>
    <w:rsid w:val="007B5796"/>
    <w:rsid w:val="007B5944"/>
    <w:rsid w:val="007B6A1F"/>
    <w:rsid w:val="007C561A"/>
    <w:rsid w:val="007C5C99"/>
    <w:rsid w:val="007C796E"/>
    <w:rsid w:val="007D2FA2"/>
    <w:rsid w:val="007E1390"/>
    <w:rsid w:val="007F446E"/>
    <w:rsid w:val="007F71A0"/>
    <w:rsid w:val="0080243D"/>
    <w:rsid w:val="008101DA"/>
    <w:rsid w:val="00814E1C"/>
    <w:rsid w:val="00821CE9"/>
    <w:rsid w:val="008222CE"/>
    <w:rsid w:val="00827408"/>
    <w:rsid w:val="00830106"/>
    <w:rsid w:val="00837FFD"/>
    <w:rsid w:val="0085123B"/>
    <w:rsid w:val="0085759F"/>
    <w:rsid w:val="0086789E"/>
    <w:rsid w:val="008679DB"/>
    <w:rsid w:val="0087418A"/>
    <w:rsid w:val="00875B02"/>
    <w:rsid w:val="00892A7E"/>
    <w:rsid w:val="00893402"/>
    <w:rsid w:val="008937E9"/>
    <w:rsid w:val="00895297"/>
    <w:rsid w:val="00896967"/>
    <w:rsid w:val="008C256E"/>
    <w:rsid w:val="008C3CC6"/>
    <w:rsid w:val="008C6EFF"/>
    <w:rsid w:val="008C776F"/>
    <w:rsid w:val="008D0515"/>
    <w:rsid w:val="008D639C"/>
    <w:rsid w:val="00901602"/>
    <w:rsid w:val="00901C38"/>
    <w:rsid w:val="00905CAF"/>
    <w:rsid w:val="00906859"/>
    <w:rsid w:val="00915D41"/>
    <w:rsid w:val="0092134A"/>
    <w:rsid w:val="009306F3"/>
    <w:rsid w:val="00931D70"/>
    <w:rsid w:val="00934549"/>
    <w:rsid w:val="00935235"/>
    <w:rsid w:val="00942607"/>
    <w:rsid w:val="00942AFD"/>
    <w:rsid w:val="00956AA2"/>
    <w:rsid w:val="00960CC8"/>
    <w:rsid w:val="009639A7"/>
    <w:rsid w:val="00963DE5"/>
    <w:rsid w:val="00967C8D"/>
    <w:rsid w:val="00973FB6"/>
    <w:rsid w:val="009764C9"/>
    <w:rsid w:val="00976C7D"/>
    <w:rsid w:val="00983AD1"/>
    <w:rsid w:val="00987AF0"/>
    <w:rsid w:val="00993BDC"/>
    <w:rsid w:val="00996157"/>
    <w:rsid w:val="009A0F80"/>
    <w:rsid w:val="009B5788"/>
    <w:rsid w:val="009C092D"/>
    <w:rsid w:val="009C1099"/>
    <w:rsid w:val="009C26D3"/>
    <w:rsid w:val="009C2FD3"/>
    <w:rsid w:val="009D4917"/>
    <w:rsid w:val="009D52F5"/>
    <w:rsid w:val="009E27A6"/>
    <w:rsid w:val="009E3331"/>
    <w:rsid w:val="009E3503"/>
    <w:rsid w:val="009F0216"/>
    <w:rsid w:val="009F5FAE"/>
    <w:rsid w:val="009F65F9"/>
    <w:rsid w:val="009F7FA0"/>
    <w:rsid w:val="00A041C3"/>
    <w:rsid w:val="00A06674"/>
    <w:rsid w:val="00A0695A"/>
    <w:rsid w:val="00A06E0B"/>
    <w:rsid w:val="00A1381B"/>
    <w:rsid w:val="00A138C1"/>
    <w:rsid w:val="00A14846"/>
    <w:rsid w:val="00A23662"/>
    <w:rsid w:val="00A2436D"/>
    <w:rsid w:val="00A322D5"/>
    <w:rsid w:val="00A33679"/>
    <w:rsid w:val="00A35A7E"/>
    <w:rsid w:val="00A424FA"/>
    <w:rsid w:val="00A44BFE"/>
    <w:rsid w:val="00A615B7"/>
    <w:rsid w:val="00A620A4"/>
    <w:rsid w:val="00A62630"/>
    <w:rsid w:val="00A62A5E"/>
    <w:rsid w:val="00A66C57"/>
    <w:rsid w:val="00A709E2"/>
    <w:rsid w:val="00A72F2E"/>
    <w:rsid w:val="00A75DA9"/>
    <w:rsid w:val="00A76DF4"/>
    <w:rsid w:val="00A813D1"/>
    <w:rsid w:val="00A9233A"/>
    <w:rsid w:val="00AA375E"/>
    <w:rsid w:val="00AC0BB7"/>
    <w:rsid w:val="00AC1754"/>
    <w:rsid w:val="00AC1A24"/>
    <w:rsid w:val="00AC25F4"/>
    <w:rsid w:val="00AC28F9"/>
    <w:rsid w:val="00AC2B87"/>
    <w:rsid w:val="00AC6ACF"/>
    <w:rsid w:val="00AD23AB"/>
    <w:rsid w:val="00AE4972"/>
    <w:rsid w:val="00AE6F54"/>
    <w:rsid w:val="00AE6F93"/>
    <w:rsid w:val="00AF12A7"/>
    <w:rsid w:val="00AF4307"/>
    <w:rsid w:val="00AF7714"/>
    <w:rsid w:val="00AF798B"/>
    <w:rsid w:val="00B00C56"/>
    <w:rsid w:val="00B22D34"/>
    <w:rsid w:val="00B24CCF"/>
    <w:rsid w:val="00B275C6"/>
    <w:rsid w:val="00B52735"/>
    <w:rsid w:val="00B67B54"/>
    <w:rsid w:val="00B740EF"/>
    <w:rsid w:val="00B76D13"/>
    <w:rsid w:val="00B76D7D"/>
    <w:rsid w:val="00B832D9"/>
    <w:rsid w:val="00B855C5"/>
    <w:rsid w:val="00B92204"/>
    <w:rsid w:val="00B92F41"/>
    <w:rsid w:val="00B933F1"/>
    <w:rsid w:val="00BA3F59"/>
    <w:rsid w:val="00BA74F0"/>
    <w:rsid w:val="00BB171D"/>
    <w:rsid w:val="00BD15E6"/>
    <w:rsid w:val="00BD2135"/>
    <w:rsid w:val="00BD2C94"/>
    <w:rsid w:val="00BD65E2"/>
    <w:rsid w:val="00BE0CBA"/>
    <w:rsid w:val="00BE0D75"/>
    <w:rsid w:val="00BE5153"/>
    <w:rsid w:val="00BF01A3"/>
    <w:rsid w:val="00BF5FB5"/>
    <w:rsid w:val="00C007A9"/>
    <w:rsid w:val="00C03B78"/>
    <w:rsid w:val="00C07784"/>
    <w:rsid w:val="00C10E7C"/>
    <w:rsid w:val="00C15C18"/>
    <w:rsid w:val="00C308CF"/>
    <w:rsid w:val="00C34ABE"/>
    <w:rsid w:val="00C42DC3"/>
    <w:rsid w:val="00C50E59"/>
    <w:rsid w:val="00C549FD"/>
    <w:rsid w:val="00C6154B"/>
    <w:rsid w:val="00C617CC"/>
    <w:rsid w:val="00C64BFB"/>
    <w:rsid w:val="00C72908"/>
    <w:rsid w:val="00C729C7"/>
    <w:rsid w:val="00C77061"/>
    <w:rsid w:val="00C77A71"/>
    <w:rsid w:val="00C82F46"/>
    <w:rsid w:val="00C94A8C"/>
    <w:rsid w:val="00CA0862"/>
    <w:rsid w:val="00CA5A2C"/>
    <w:rsid w:val="00CB1E6B"/>
    <w:rsid w:val="00CC18C2"/>
    <w:rsid w:val="00CC20FC"/>
    <w:rsid w:val="00CC35E8"/>
    <w:rsid w:val="00CC3FFE"/>
    <w:rsid w:val="00CC408D"/>
    <w:rsid w:val="00CC5153"/>
    <w:rsid w:val="00CC6A0F"/>
    <w:rsid w:val="00CD18C1"/>
    <w:rsid w:val="00CE036C"/>
    <w:rsid w:val="00CE6A83"/>
    <w:rsid w:val="00CF5146"/>
    <w:rsid w:val="00CF7C2C"/>
    <w:rsid w:val="00D06857"/>
    <w:rsid w:val="00D10F86"/>
    <w:rsid w:val="00D12704"/>
    <w:rsid w:val="00D150F6"/>
    <w:rsid w:val="00D165DE"/>
    <w:rsid w:val="00D16623"/>
    <w:rsid w:val="00D43426"/>
    <w:rsid w:val="00D43D0D"/>
    <w:rsid w:val="00D55674"/>
    <w:rsid w:val="00D61875"/>
    <w:rsid w:val="00D62530"/>
    <w:rsid w:val="00D67701"/>
    <w:rsid w:val="00D7170E"/>
    <w:rsid w:val="00D73613"/>
    <w:rsid w:val="00D75338"/>
    <w:rsid w:val="00D91B7F"/>
    <w:rsid w:val="00DA04EA"/>
    <w:rsid w:val="00DA4206"/>
    <w:rsid w:val="00DA5A6A"/>
    <w:rsid w:val="00DA621A"/>
    <w:rsid w:val="00DB1B59"/>
    <w:rsid w:val="00DB34F6"/>
    <w:rsid w:val="00DD01F8"/>
    <w:rsid w:val="00DD0316"/>
    <w:rsid w:val="00DE07B9"/>
    <w:rsid w:val="00DE13FF"/>
    <w:rsid w:val="00DE3E35"/>
    <w:rsid w:val="00DF6EBF"/>
    <w:rsid w:val="00E02BE9"/>
    <w:rsid w:val="00E03501"/>
    <w:rsid w:val="00E04F53"/>
    <w:rsid w:val="00E17C22"/>
    <w:rsid w:val="00E3241C"/>
    <w:rsid w:val="00E438CB"/>
    <w:rsid w:val="00E537BA"/>
    <w:rsid w:val="00E53E88"/>
    <w:rsid w:val="00E61534"/>
    <w:rsid w:val="00E654DF"/>
    <w:rsid w:val="00E65AB3"/>
    <w:rsid w:val="00E72EEF"/>
    <w:rsid w:val="00E7578A"/>
    <w:rsid w:val="00E8496A"/>
    <w:rsid w:val="00E84EE5"/>
    <w:rsid w:val="00E86E92"/>
    <w:rsid w:val="00EA4004"/>
    <w:rsid w:val="00EB632B"/>
    <w:rsid w:val="00EB7508"/>
    <w:rsid w:val="00ED5F29"/>
    <w:rsid w:val="00EE0541"/>
    <w:rsid w:val="00EE4EDB"/>
    <w:rsid w:val="00EF0E10"/>
    <w:rsid w:val="00EF4126"/>
    <w:rsid w:val="00EF7D97"/>
    <w:rsid w:val="00F00B48"/>
    <w:rsid w:val="00F11ADC"/>
    <w:rsid w:val="00F1547F"/>
    <w:rsid w:val="00F269B8"/>
    <w:rsid w:val="00F37EDE"/>
    <w:rsid w:val="00F45E74"/>
    <w:rsid w:val="00F53049"/>
    <w:rsid w:val="00F54754"/>
    <w:rsid w:val="00F6154A"/>
    <w:rsid w:val="00F64CCC"/>
    <w:rsid w:val="00F769DE"/>
    <w:rsid w:val="00F8284F"/>
    <w:rsid w:val="00F8289F"/>
    <w:rsid w:val="00F842B8"/>
    <w:rsid w:val="00F96750"/>
    <w:rsid w:val="00FA0514"/>
    <w:rsid w:val="00FA4E35"/>
    <w:rsid w:val="00FB1305"/>
    <w:rsid w:val="00FB2389"/>
    <w:rsid w:val="00FB2C80"/>
    <w:rsid w:val="00FB68FB"/>
    <w:rsid w:val="00FB7E62"/>
    <w:rsid w:val="00FC01BF"/>
    <w:rsid w:val="00FC0570"/>
    <w:rsid w:val="00FC3042"/>
    <w:rsid w:val="00FC4AC9"/>
    <w:rsid w:val="00FC5EA8"/>
    <w:rsid w:val="00FD3ED6"/>
    <w:rsid w:val="00FD73C6"/>
    <w:rsid w:val="00FE5B81"/>
    <w:rsid w:val="00FE70F5"/>
    <w:rsid w:val="049D3CCB"/>
    <w:rsid w:val="089B2C2A"/>
    <w:rsid w:val="0E765C7B"/>
    <w:rsid w:val="0FB5CB10"/>
    <w:rsid w:val="1BB50366"/>
    <w:rsid w:val="1D97D4AE"/>
    <w:rsid w:val="27859577"/>
    <w:rsid w:val="2874262A"/>
    <w:rsid w:val="297B7224"/>
    <w:rsid w:val="2D77B9DF"/>
    <w:rsid w:val="2F5A2817"/>
    <w:rsid w:val="324A3D11"/>
    <w:rsid w:val="3AFAB47E"/>
    <w:rsid w:val="3CD345CA"/>
    <w:rsid w:val="40A8EB90"/>
    <w:rsid w:val="4161B136"/>
    <w:rsid w:val="44BA6CF5"/>
    <w:rsid w:val="4909BEBC"/>
    <w:rsid w:val="4AFB6DAD"/>
    <w:rsid w:val="4C931E37"/>
    <w:rsid w:val="521621CE"/>
    <w:rsid w:val="66FAC47F"/>
    <w:rsid w:val="6ADE80EF"/>
    <w:rsid w:val="7C28D1E3"/>
    <w:rsid w:val="7D1C6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BA5C9"/>
  <w15:chartTrackingRefBased/>
  <w15:docId w15:val="{011BD0BC-E351-4A4A-92DE-CE69E7700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3D391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3D39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3D391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3D391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3D391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3D391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3D391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3D391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3D391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3D391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rsid w:val="003D391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rsid w:val="003D391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3D391A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3D391A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3D391A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3D391A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3D391A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3D391A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3D391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3D39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3D391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3D391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3D39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3D391A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3D391A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3D391A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3D391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3D391A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3D391A"/>
    <w:rPr>
      <w:b/>
      <w:bCs/>
      <w:smallCaps/>
      <w:color w:val="0F4761" w:themeColor="accent1" w:themeShade="BF"/>
      <w:spacing w:val="5"/>
    </w:rPr>
  </w:style>
  <w:style w:type="character" w:styleId="Rimandocommento">
    <w:name w:val="annotation reference"/>
    <w:basedOn w:val="Carpredefinitoparagrafo"/>
    <w:uiPriority w:val="99"/>
    <w:semiHidden/>
    <w:unhideWhenUsed/>
    <w:rsid w:val="006F179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6F1791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6F1791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F179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F1791"/>
    <w:rPr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934549"/>
    <w:pPr>
      <w:spacing w:after="0" w:line="240" w:lineRule="auto"/>
    </w:pPr>
  </w:style>
  <w:style w:type="paragraph" w:styleId="Didascalia">
    <w:name w:val="caption"/>
    <w:basedOn w:val="Normale"/>
    <w:next w:val="Normale"/>
    <w:uiPriority w:val="35"/>
    <w:unhideWhenUsed/>
    <w:qFormat/>
    <w:rsid w:val="001131DD"/>
    <w:pPr>
      <w:spacing w:after="200" w:line="240" w:lineRule="auto"/>
    </w:pPr>
    <w:rPr>
      <w:i/>
      <w:iCs/>
      <w:color w:val="0E2841" w:themeColor="text2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6D3AC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D3AC0"/>
  </w:style>
  <w:style w:type="paragraph" w:styleId="Pidipagina">
    <w:name w:val="footer"/>
    <w:basedOn w:val="Normale"/>
    <w:link w:val="PidipaginaCarattere"/>
    <w:uiPriority w:val="99"/>
    <w:unhideWhenUsed/>
    <w:rsid w:val="006D3AC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D3A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776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2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3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95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03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0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cid:image015.png@01DB2462.5F9AFF70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D05B04-C21A-4C60-83FE-835034DDC3A5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05f73a75-999a-4b6f-83c1-8a9511c3f90d}" enabled="0" method="" siteId="{05f73a75-999a-4b6f-83c1-8a9511c3f90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1446</Words>
  <Characters>8247</Characters>
  <Application>Microsoft Office Word</Application>
  <DocSecurity>4</DocSecurity>
  <Lines>68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IREN S.p.A.</Company>
  <LinksUpToDate>false</LinksUpToDate>
  <CharactersWithSpaces>9674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Garotta Valeria</dc:creator>
  <cp:keywords/>
  <dc:description/>
  <cp:lastModifiedBy>Manuela Furini</cp:lastModifiedBy>
  <cp:revision>2</cp:revision>
  <cp:lastPrinted>2024-10-16T02:16:00Z</cp:lastPrinted>
  <dcterms:created xsi:type="dcterms:W3CDTF">2025-01-13T12:21:00Z</dcterms:created>
  <dcterms:modified xsi:type="dcterms:W3CDTF">2025-01-13T12:21:00Z</dcterms:modified>
</cp:coreProperties>
</file>